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F57D4" w14:textId="1C964433" w:rsidR="007E3976" w:rsidRPr="00097096" w:rsidRDefault="007E3976" w:rsidP="007E3976">
      <w:pPr>
        <w:rPr>
          <w:rStyle w:val="Heading1Char"/>
          <w:rFonts w:eastAsia="Calibri"/>
          <w:sz w:val="32"/>
          <w:szCs w:val="32"/>
        </w:rPr>
      </w:pPr>
      <w:r w:rsidRPr="00097096">
        <w:rPr>
          <w:rStyle w:val="Heading1Char"/>
          <w:rFonts w:eastAsia="Calibri"/>
          <w:sz w:val="32"/>
          <w:szCs w:val="32"/>
        </w:rPr>
        <w:t>GEM Abstract</w:t>
      </w:r>
      <w:r w:rsidR="00FE6433" w:rsidRPr="00097096">
        <w:rPr>
          <w:rStyle w:val="Heading1Char"/>
          <w:rFonts w:eastAsia="Calibri"/>
          <w:sz w:val="32"/>
          <w:szCs w:val="32"/>
        </w:rPr>
        <w:t xml:space="preserve">ion </w:t>
      </w:r>
      <w:r w:rsidRPr="00097096">
        <w:rPr>
          <w:rStyle w:val="Heading1Char"/>
          <w:rFonts w:eastAsia="Calibri"/>
          <w:sz w:val="32"/>
          <w:szCs w:val="32"/>
        </w:rPr>
        <w:t>Manual</w:t>
      </w:r>
      <w:r w:rsidR="00FE6433" w:rsidRPr="00097096">
        <w:rPr>
          <w:rStyle w:val="Heading1Char"/>
          <w:rFonts w:eastAsia="Calibri"/>
          <w:sz w:val="32"/>
          <w:szCs w:val="32"/>
        </w:rPr>
        <w:t xml:space="preserve"> </w:t>
      </w:r>
    </w:p>
    <w:p w14:paraId="4C7907E1" w14:textId="77777777" w:rsidR="007E3976" w:rsidRPr="002C6C54" w:rsidRDefault="002854A5" w:rsidP="002C6C54">
      <w:pPr>
        <w:pStyle w:val="Heading1"/>
        <w:spacing w:before="240" w:after="240"/>
        <w:rPr>
          <w:rStyle w:val="Heading1Char"/>
          <w:rFonts w:eastAsia="Calibri"/>
          <w:b/>
          <w:bCs/>
        </w:rPr>
      </w:pPr>
      <w:r w:rsidRPr="002C6C54">
        <w:rPr>
          <w:rStyle w:val="Heading1Char"/>
          <w:rFonts w:eastAsia="Calibri"/>
          <w:b/>
          <w:bCs/>
        </w:rPr>
        <w:t xml:space="preserve">Download </w:t>
      </w:r>
      <w:proofErr w:type="gramStart"/>
      <w:r w:rsidRPr="002C6C54">
        <w:rPr>
          <w:rStyle w:val="Heading1Char"/>
          <w:rFonts w:eastAsia="Calibri"/>
          <w:b/>
          <w:bCs/>
        </w:rPr>
        <w:t>And</w:t>
      </w:r>
      <w:proofErr w:type="gramEnd"/>
      <w:r w:rsidRPr="002C6C54">
        <w:rPr>
          <w:rStyle w:val="Heading1Char"/>
          <w:rFonts w:eastAsia="Calibri"/>
          <w:b/>
          <w:bCs/>
        </w:rPr>
        <w:t xml:space="preserve"> Installation</w:t>
      </w:r>
    </w:p>
    <w:p w14:paraId="5A300E7D" w14:textId="77777777" w:rsidR="007E3976" w:rsidRPr="002C6C54" w:rsidRDefault="00180075" w:rsidP="002C6C54">
      <w:pPr>
        <w:pStyle w:val="Heading1"/>
        <w:spacing w:before="240" w:after="240"/>
        <w:rPr>
          <w:rStyle w:val="Heading1Char"/>
          <w:rFonts w:eastAsia="Calibri"/>
          <w:b/>
          <w:bCs/>
        </w:rPr>
      </w:pPr>
      <w:r w:rsidRPr="002C6C54">
        <w:rPr>
          <w:rStyle w:val="Heading1Char"/>
          <w:rFonts w:eastAsia="Calibri"/>
          <w:b/>
          <w:bCs/>
        </w:rPr>
        <w:t xml:space="preserve">Launching </w:t>
      </w:r>
      <w:r w:rsidR="00707CCF">
        <w:rPr>
          <w:rStyle w:val="Heading1Char"/>
          <w:rFonts w:eastAsia="Calibri"/>
          <w:b/>
          <w:bCs/>
        </w:rPr>
        <w:t xml:space="preserve">GEM </w:t>
      </w:r>
      <w:r w:rsidRPr="002C6C54">
        <w:rPr>
          <w:rStyle w:val="Heading1Char"/>
          <w:rFonts w:eastAsia="Calibri"/>
          <w:b/>
          <w:bCs/>
        </w:rPr>
        <w:t>Cutter</w:t>
      </w:r>
    </w:p>
    <w:p w14:paraId="00A8C3C1" w14:textId="05A373EA" w:rsidR="004A5CE0" w:rsidRPr="002854A5" w:rsidRDefault="004A5CE0" w:rsidP="002854A5">
      <w:pPr>
        <w:spacing w:before="240" w:after="240"/>
        <w:rPr>
          <w:rFonts w:ascii="Cambria" w:hAnsi="Cambria"/>
        </w:rPr>
      </w:pPr>
      <w:r w:rsidRPr="002854A5">
        <w:rPr>
          <w:rFonts w:ascii="Cambria" w:hAnsi="Cambria"/>
        </w:rPr>
        <w:t xml:space="preserve">To start using GEM Cutter, go into the folder named </w:t>
      </w:r>
      <w:r w:rsidR="002854A5">
        <w:rPr>
          <w:rFonts w:ascii="Cambria" w:hAnsi="Cambria"/>
        </w:rPr>
        <w:t>“</w:t>
      </w:r>
      <w:r w:rsidRPr="002854A5">
        <w:rPr>
          <w:rFonts w:ascii="Cambria" w:hAnsi="Cambria"/>
        </w:rPr>
        <w:t>GEM</w:t>
      </w:r>
      <w:r w:rsidR="006C681D">
        <w:rPr>
          <w:rFonts w:ascii="Cambria" w:hAnsi="Cambria"/>
        </w:rPr>
        <w:t xml:space="preserve"> </w:t>
      </w:r>
      <w:r w:rsidR="00D74213">
        <w:rPr>
          <w:rFonts w:ascii="Cambria" w:hAnsi="Cambria"/>
        </w:rPr>
        <w:t>Cutter III</w:t>
      </w:r>
      <w:r w:rsidR="002854A5">
        <w:rPr>
          <w:rFonts w:ascii="Cambria" w:hAnsi="Cambria"/>
        </w:rPr>
        <w:t>”</w:t>
      </w:r>
      <w:r w:rsidRPr="002854A5">
        <w:rPr>
          <w:rFonts w:ascii="Cambria" w:hAnsi="Cambria"/>
        </w:rPr>
        <w:t xml:space="preserve"> and double-click on the Executable Jar File </w:t>
      </w:r>
      <w:r w:rsidR="00E2173B" w:rsidRPr="002854A5">
        <w:rPr>
          <w:rFonts w:ascii="Cambria" w:hAnsi="Cambria"/>
        </w:rPr>
        <w:t>“</w:t>
      </w:r>
      <w:r w:rsidR="00E6491D">
        <w:rPr>
          <w:rFonts w:ascii="Cambria" w:hAnsi="Cambria"/>
        </w:rPr>
        <w:t>Gem</w:t>
      </w:r>
      <w:r w:rsidRPr="002854A5">
        <w:rPr>
          <w:rFonts w:ascii="Cambria" w:hAnsi="Cambria"/>
        </w:rPr>
        <w:t>Cutter</w:t>
      </w:r>
      <w:r w:rsidR="00E6491D">
        <w:rPr>
          <w:rFonts w:ascii="Cambria" w:hAnsi="Cambria"/>
        </w:rPr>
        <w:t>.jar</w:t>
      </w:r>
      <w:r w:rsidR="00E2173B" w:rsidRPr="002854A5">
        <w:rPr>
          <w:rFonts w:ascii="Cambria" w:hAnsi="Cambria"/>
        </w:rPr>
        <w:t>”</w:t>
      </w:r>
      <w:r w:rsidR="004271DD">
        <w:rPr>
          <w:rFonts w:ascii="Cambria" w:hAnsi="Cambria"/>
        </w:rPr>
        <w:t xml:space="preserve">, as shown below. </w:t>
      </w:r>
    </w:p>
    <w:p w14:paraId="656A7DA1" w14:textId="77777777" w:rsidR="004A5CE0" w:rsidRDefault="006C681D" w:rsidP="004271DD">
      <w:pPr>
        <w:jc w:val="center"/>
      </w:pPr>
      <w:r>
        <w:rPr>
          <w:noProof/>
        </w:rPr>
        <w:drawing>
          <wp:inline distT="0" distB="0" distL="0" distR="0" wp14:anchorId="27B0BCB1" wp14:editId="42438E3E">
            <wp:extent cx="6400800" cy="1062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ng"/>
                    <pic:cNvPicPr/>
                  </pic:nvPicPr>
                  <pic:blipFill>
                    <a:blip r:embed="rId7">
                      <a:extLst>
                        <a:ext uri="{28A0092B-C50C-407E-A947-70E740481C1C}">
                          <a14:useLocalDpi xmlns:a14="http://schemas.microsoft.com/office/drawing/2010/main" val="0"/>
                        </a:ext>
                      </a:extLst>
                    </a:blip>
                    <a:stretch>
                      <a:fillRect/>
                    </a:stretch>
                  </pic:blipFill>
                  <pic:spPr>
                    <a:xfrm>
                      <a:off x="0" y="0"/>
                      <a:ext cx="6400800" cy="1062355"/>
                    </a:xfrm>
                    <a:prstGeom prst="rect">
                      <a:avLst/>
                    </a:prstGeom>
                  </pic:spPr>
                </pic:pic>
              </a:graphicData>
            </a:graphic>
          </wp:inline>
        </w:drawing>
      </w:r>
    </w:p>
    <w:p w14:paraId="4BC30AF4" w14:textId="77777777" w:rsidR="00D96CCD" w:rsidRDefault="00D96CCD" w:rsidP="001716B9">
      <w:pPr>
        <w:spacing w:before="240" w:after="240"/>
        <w:rPr>
          <w:rFonts w:ascii="Cambria" w:hAnsi="Cambria"/>
        </w:rPr>
      </w:pPr>
    </w:p>
    <w:p w14:paraId="74EA8191" w14:textId="58D444B4" w:rsidR="00023039" w:rsidRDefault="002854A5" w:rsidP="001716B9">
      <w:pPr>
        <w:spacing w:before="240" w:after="240"/>
        <w:rPr>
          <w:rFonts w:ascii="Cambria" w:hAnsi="Cambria"/>
        </w:rPr>
      </w:pPr>
      <w:r w:rsidRPr="002854A5">
        <w:rPr>
          <w:rFonts w:ascii="Cambria" w:hAnsi="Cambria"/>
        </w:rPr>
        <w:t xml:space="preserve">This will launch the GEM-Cutter application and the main screen </w:t>
      </w:r>
      <w:r w:rsidR="004271DD">
        <w:rPr>
          <w:rFonts w:ascii="Cambria" w:hAnsi="Cambria"/>
          <w:b/>
        </w:rPr>
        <w:t>below</w:t>
      </w:r>
      <w:r w:rsidRPr="002854A5">
        <w:rPr>
          <w:rFonts w:ascii="Cambria" w:hAnsi="Cambria"/>
        </w:rPr>
        <w:t xml:space="preserve"> will appear. </w:t>
      </w:r>
    </w:p>
    <w:p w14:paraId="148815D9" w14:textId="3E8F6D75" w:rsidR="00D96CCD" w:rsidRDefault="00023039" w:rsidP="001716B9">
      <w:pPr>
        <w:spacing w:before="240" w:after="240"/>
        <w:jc w:val="center"/>
        <w:rPr>
          <w:rFonts w:ascii="Cambria" w:hAnsi="Cambria"/>
          <w:b/>
        </w:rPr>
      </w:pPr>
      <w:r>
        <w:rPr>
          <w:rFonts w:ascii="Cambria" w:hAnsi="Cambria"/>
          <w:b/>
          <w:noProof/>
        </w:rPr>
        <w:drawing>
          <wp:inline distT="0" distB="0" distL="0" distR="0" wp14:anchorId="1F66E817" wp14:editId="03948CCF">
            <wp:extent cx="5649313" cy="3642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020" cy="3644096"/>
                    </a:xfrm>
                    <a:prstGeom prst="rect">
                      <a:avLst/>
                    </a:prstGeom>
                  </pic:spPr>
                </pic:pic>
              </a:graphicData>
            </a:graphic>
          </wp:inline>
        </w:drawing>
      </w:r>
    </w:p>
    <w:p w14:paraId="7B7D119E" w14:textId="31D52551" w:rsidR="004A5CE0" w:rsidRPr="00180075" w:rsidRDefault="004A5CE0" w:rsidP="001716B9">
      <w:pPr>
        <w:spacing w:before="240" w:after="240"/>
        <w:jc w:val="center"/>
        <w:rPr>
          <w:rFonts w:ascii="Cambria" w:hAnsi="Cambria"/>
          <w:b/>
        </w:rPr>
      </w:pPr>
    </w:p>
    <w:p w14:paraId="0819C3D4" w14:textId="77777777" w:rsidR="00180075" w:rsidRPr="002C6C54" w:rsidRDefault="00180075" w:rsidP="002C6C54">
      <w:pPr>
        <w:pStyle w:val="Heading1"/>
        <w:spacing w:before="240" w:after="240"/>
        <w:rPr>
          <w:rStyle w:val="Heading1Char"/>
          <w:rFonts w:eastAsia="Calibri"/>
          <w:b/>
          <w:bCs/>
        </w:rPr>
      </w:pPr>
      <w:r w:rsidRPr="002C6C54">
        <w:rPr>
          <w:rStyle w:val="Heading1Char"/>
          <w:rFonts w:eastAsia="Calibri"/>
          <w:b/>
          <w:bCs/>
        </w:rPr>
        <w:lastRenderedPageBreak/>
        <w:t>Beginning a New Project</w:t>
      </w:r>
    </w:p>
    <w:p w14:paraId="5F7A3F01" w14:textId="77777777" w:rsidR="004A5CE0" w:rsidRDefault="00180075" w:rsidP="007E3976">
      <w:pPr>
        <w:rPr>
          <w:rFonts w:ascii="Cambria" w:hAnsi="Cambria"/>
        </w:rPr>
      </w:pPr>
      <w:r>
        <w:rPr>
          <w:rFonts w:ascii="Cambria" w:hAnsi="Cambria"/>
        </w:rPr>
        <w:t>To begin cutting a guideline for the first time, c</w:t>
      </w:r>
      <w:r w:rsidR="00EB633D" w:rsidRPr="00AC4B14">
        <w:rPr>
          <w:rFonts w:ascii="Cambria" w:hAnsi="Cambria"/>
        </w:rPr>
        <w:t>lick on</w:t>
      </w:r>
      <w:r w:rsidR="004A5CE0" w:rsidRPr="00AC4B14">
        <w:rPr>
          <w:rFonts w:ascii="Cambria" w:hAnsi="Cambria"/>
        </w:rPr>
        <w:t xml:space="preserve"> </w:t>
      </w:r>
      <w:r w:rsidR="00EB633D" w:rsidRPr="00AC4B14">
        <w:rPr>
          <w:rFonts w:ascii="Cambria" w:hAnsi="Cambria"/>
        </w:rPr>
        <w:t>“</w:t>
      </w:r>
      <w:r w:rsidR="004A5CE0" w:rsidRPr="00AC4B14">
        <w:rPr>
          <w:rFonts w:ascii="Cambria" w:hAnsi="Cambria"/>
        </w:rPr>
        <w:t>Project</w:t>
      </w:r>
      <w:r w:rsidR="00EB633D" w:rsidRPr="00AC4B14">
        <w:rPr>
          <w:rFonts w:ascii="Cambria" w:hAnsi="Cambria"/>
        </w:rPr>
        <w:t>”</w:t>
      </w:r>
      <w:r w:rsidR="004A5CE0" w:rsidRPr="00AC4B14">
        <w:rPr>
          <w:rFonts w:ascii="Cambria" w:hAnsi="Cambria"/>
        </w:rPr>
        <w:t xml:space="preserve"> </w:t>
      </w:r>
      <w:r w:rsidR="00EB633D" w:rsidRPr="00AC4B14">
        <w:rPr>
          <w:rFonts w:ascii="Cambria" w:hAnsi="Cambria"/>
        </w:rPr>
        <w:t>at the top left of the</w:t>
      </w:r>
      <w:r w:rsidR="004A5CE0" w:rsidRPr="00AC4B14">
        <w:rPr>
          <w:rFonts w:ascii="Cambria" w:hAnsi="Cambria"/>
        </w:rPr>
        <w:t xml:space="preserve"> menu bar and then select </w:t>
      </w:r>
      <w:r w:rsidR="00EB633D" w:rsidRPr="00AC4B14">
        <w:rPr>
          <w:rFonts w:ascii="Cambria" w:hAnsi="Cambria"/>
        </w:rPr>
        <w:t>“</w:t>
      </w:r>
      <w:r w:rsidR="004A5CE0" w:rsidRPr="00AC4B14">
        <w:rPr>
          <w:rFonts w:ascii="Cambria" w:hAnsi="Cambria"/>
        </w:rPr>
        <w:t>New Project</w:t>
      </w:r>
      <w:r w:rsidR="00EB633D" w:rsidRPr="00AC4B14">
        <w:rPr>
          <w:rFonts w:ascii="Cambria" w:hAnsi="Cambria"/>
        </w:rPr>
        <w:t>”</w:t>
      </w:r>
      <w:r>
        <w:rPr>
          <w:rFonts w:ascii="Cambria" w:hAnsi="Cambria"/>
        </w:rPr>
        <w:t xml:space="preserve"> from the drop-down menu</w:t>
      </w:r>
      <w:r w:rsidR="004A5CE0" w:rsidRPr="00AC4B14">
        <w:rPr>
          <w:rFonts w:ascii="Cambria" w:hAnsi="Cambria"/>
        </w:rPr>
        <w:t xml:space="preserve">. </w:t>
      </w:r>
      <w:r w:rsidR="00A22DB9">
        <w:rPr>
          <w:rFonts w:ascii="Cambria" w:hAnsi="Cambria"/>
        </w:rPr>
        <w:t xml:space="preserve">Alternatively, you can click on the “New Project” icon. (below left). </w:t>
      </w:r>
      <w:r w:rsidR="004A5CE0" w:rsidRPr="00AC4B14">
        <w:rPr>
          <w:rFonts w:ascii="Cambria" w:hAnsi="Cambria"/>
        </w:rPr>
        <w:t xml:space="preserve">The </w:t>
      </w:r>
      <w:r w:rsidR="00EB633D" w:rsidRPr="00AC4B14">
        <w:rPr>
          <w:rFonts w:ascii="Cambria" w:hAnsi="Cambria"/>
        </w:rPr>
        <w:t xml:space="preserve">window shown </w:t>
      </w:r>
      <w:r w:rsidR="00DE3F9F">
        <w:rPr>
          <w:rFonts w:ascii="Cambria" w:hAnsi="Cambria"/>
        </w:rPr>
        <w:t xml:space="preserve">at </w:t>
      </w:r>
      <w:r w:rsidR="002854A5" w:rsidRPr="00AC4B14">
        <w:rPr>
          <w:rFonts w:ascii="Cambria" w:hAnsi="Cambria"/>
        </w:rPr>
        <w:t xml:space="preserve">below </w:t>
      </w:r>
      <w:r w:rsidR="00DE3F9F">
        <w:rPr>
          <w:rFonts w:ascii="Cambria" w:hAnsi="Cambria"/>
        </w:rPr>
        <w:t xml:space="preserve">right </w:t>
      </w:r>
      <w:r w:rsidR="002854A5" w:rsidRPr="00AC4B14">
        <w:rPr>
          <w:rFonts w:ascii="Cambria" w:hAnsi="Cambria"/>
        </w:rPr>
        <w:t xml:space="preserve">will </w:t>
      </w:r>
      <w:r w:rsidR="004A5CE0" w:rsidRPr="00AC4B14">
        <w:rPr>
          <w:rFonts w:ascii="Cambria" w:hAnsi="Cambria"/>
        </w:rPr>
        <w:t>appear.</w:t>
      </w:r>
    </w:p>
    <w:tbl>
      <w:tblPr>
        <w:tblW w:w="0" w:type="auto"/>
        <w:tblLook w:val="04A0" w:firstRow="1" w:lastRow="0" w:firstColumn="1" w:lastColumn="0" w:noHBand="0" w:noVBand="1"/>
      </w:tblPr>
      <w:tblGrid>
        <w:gridCol w:w="5077"/>
        <w:gridCol w:w="5003"/>
      </w:tblGrid>
      <w:tr w:rsidR="00A22DB9" w:rsidRPr="00AC3DDC" w14:paraId="58F04C87" w14:textId="77777777" w:rsidTr="00AC3DDC">
        <w:trPr>
          <w:trHeight w:val="2213"/>
        </w:trPr>
        <w:tc>
          <w:tcPr>
            <w:tcW w:w="5148" w:type="dxa"/>
            <w:shd w:val="clear" w:color="auto" w:fill="auto"/>
          </w:tcPr>
          <w:p w14:paraId="6FD002E5" w14:textId="77777777" w:rsidR="00A22DB9" w:rsidRPr="00AC3DDC" w:rsidRDefault="00DE3F9F" w:rsidP="00AC3DDC">
            <w:pPr>
              <w:jc w:val="center"/>
              <w:rPr>
                <w:rFonts w:ascii="Cambria" w:hAnsi="Cambria"/>
              </w:rPr>
            </w:pPr>
            <w:r>
              <w:object w:dxaOrig="4935" w:dyaOrig="2370" w14:anchorId="6DB6B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45pt;height:107.1pt" o:ole="">
                  <v:imagedata r:id="rId9" o:title=""/>
                </v:shape>
                <o:OLEObject Type="Embed" ProgID="PBrush" ShapeID="_x0000_i1025" DrawAspect="Content" ObjectID="_1577808855" r:id="rId10"/>
              </w:object>
            </w:r>
          </w:p>
        </w:tc>
        <w:tc>
          <w:tcPr>
            <w:tcW w:w="5148" w:type="dxa"/>
            <w:shd w:val="clear" w:color="auto" w:fill="auto"/>
          </w:tcPr>
          <w:p w14:paraId="1A0BFCDC" w14:textId="77777777" w:rsidR="00A22DB9" w:rsidRPr="00AC3DDC" w:rsidRDefault="006C681D" w:rsidP="00AC3DDC">
            <w:pPr>
              <w:jc w:val="center"/>
              <w:rPr>
                <w:rFonts w:ascii="Cambria" w:hAnsi="Cambria"/>
              </w:rPr>
            </w:pPr>
            <w:r w:rsidRPr="00C23003">
              <w:rPr>
                <w:noProof/>
              </w:rPr>
              <w:drawing>
                <wp:inline distT="0" distB="0" distL="0" distR="0" wp14:anchorId="15A6A7DD" wp14:editId="35827AAA">
                  <wp:extent cx="2552700" cy="9696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969645"/>
                          </a:xfrm>
                          <a:prstGeom prst="rect">
                            <a:avLst/>
                          </a:prstGeom>
                          <a:noFill/>
                          <a:ln>
                            <a:noFill/>
                          </a:ln>
                        </pic:spPr>
                      </pic:pic>
                    </a:graphicData>
                  </a:graphic>
                </wp:inline>
              </w:drawing>
            </w:r>
          </w:p>
        </w:tc>
      </w:tr>
    </w:tbl>
    <w:p w14:paraId="15B4B142" w14:textId="77777777" w:rsidR="00DE3F9F" w:rsidRDefault="00EB633D" w:rsidP="00DE3F9F">
      <w:pPr>
        <w:spacing w:before="120"/>
        <w:rPr>
          <w:rFonts w:ascii="Cambria" w:hAnsi="Cambria"/>
        </w:rPr>
      </w:pPr>
      <w:r w:rsidRPr="002854A5">
        <w:rPr>
          <w:rFonts w:ascii="Cambria" w:hAnsi="Cambria"/>
        </w:rPr>
        <w:t>Enter a name for the project</w:t>
      </w:r>
      <w:r w:rsidR="00180075">
        <w:rPr>
          <w:rFonts w:ascii="Cambria" w:hAnsi="Cambria"/>
        </w:rPr>
        <w:t xml:space="preserve"> </w:t>
      </w:r>
      <w:r w:rsidR="0097059D">
        <w:rPr>
          <w:rFonts w:ascii="Cambria" w:hAnsi="Cambria"/>
        </w:rPr>
        <w:t xml:space="preserve">which will permit easy identification. </w:t>
      </w:r>
      <w:r w:rsidRPr="002854A5">
        <w:rPr>
          <w:rFonts w:ascii="Cambria" w:hAnsi="Cambria"/>
        </w:rPr>
        <w:t xml:space="preserve"> The use of spaces is not supported—use underscore (_) if necessary. Next click on the button with the ellipsis</w:t>
      </w:r>
      <w:r w:rsidR="003F3025" w:rsidRPr="002854A5">
        <w:rPr>
          <w:rFonts w:ascii="Cambria" w:hAnsi="Cambria"/>
        </w:rPr>
        <w:t xml:space="preserve"> (…)</w:t>
      </w:r>
      <w:r w:rsidRPr="002854A5">
        <w:rPr>
          <w:rFonts w:ascii="Cambria" w:hAnsi="Cambria"/>
        </w:rPr>
        <w:t xml:space="preserve">, which will allow you to browse your computer to find the file of the guideline you will be cutting. After you have identified and selected the full-text file of the guideline, click “Create Project”. </w:t>
      </w:r>
      <w:r w:rsidR="001E07DE" w:rsidRPr="002854A5">
        <w:rPr>
          <w:rFonts w:ascii="Cambria" w:hAnsi="Cambria"/>
        </w:rPr>
        <w:t>The guideline document is loaded into the cutter and will be visible in the leftmost of the three main panels</w:t>
      </w:r>
      <w:r w:rsidR="00171E7B">
        <w:rPr>
          <w:rFonts w:ascii="Cambria" w:hAnsi="Cambria"/>
        </w:rPr>
        <w:t>:</w:t>
      </w:r>
      <w:r w:rsidR="001E07DE" w:rsidRPr="002854A5">
        <w:rPr>
          <w:rFonts w:ascii="Cambria" w:hAnsi="Cambria"/>
        </w:rPr>
        <w:t xml:space="preserve"> </w:t>
      </w:r>
    </w:p>
    <w:p w14:paraId="5000FF20" w14:textId="77777777" w:rsidR="003F3025" w:rsidRDefault="006C681D" w:rsidP="00DE3F9F">
      <w:pPr>
        <w:jc w:val="center"/>
      </w:pPr>
      <w:r w:rsidRPr="00A76093">
        <w:rPr>
          <w:noProof/>
        </w:rPr>
        <w:drawing>
          <wp:inline distT="0" distB="0" distL="0" distR="0" wp14:anchorId="69A89A21" wp14:editId="042DE40B">
            <wp:extent cx="4762500" cy="39706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970655"/>
                    </a:xfrm>
                    <a:prstGeom prst="rect">
                      <a:avLst/>
                    </a:prstGeom>
                    <a:noFill/>
                    <a:ln>
                      <a:noFill/>
                    </a:ln>
                  </pic:spPr>
                </pic:pic>
              </a:graphicData>
            </a:graphic>
          </wp:inline>
        </w:drawing>
      </w:r>
    </w:p>
    <w:p w14:paraId="514859C6" w14:textId="77777777" w:rsidR="001716B9" w:rsidRDefault="001716B9" w:rsidP="007E3976">
      <w:pPr>
        <w:rPr>
          <w:rFonts w:ascii="Cambria" w:hAnsi="Cambria"/>
        </w:rPr>
      </w:pPr>
    </w:p>
    <w:p w14:paraId="5FA8D107" w14:textId="77777777" w:rsidR="007E3976" w:rsidRDefault="007E3976" w:rsidP="00DE3F9F">
      <w:pPr>
        <w:spacing w:before="120"/>
      </w:pPr>
      <w:r w:rsidRPr="002854A5">
        <w:rPr>
          <w:rFonts w:ascii="Cambria" w:hAnsi="Cambria"/>
        </w:rPr>
        <w:lastRenderedPageBreak/>
        <w:t xml:space="preserve">The middle panel </w:t>
      </w:r>
      <w:r w:rsidR="00395803" w:rsidRPr="002854A5">
        <w:rPr>
          <w:rFonts w:ascii="Cambria" w:hAnsi="Cambria"/>
        </w:rPr>
        <w:t>displays</w:t>
      </w:r>
      <w:r w:rsidRPr="002854A5">
        <w:rPr>
          <w:rFonts w:ascii="Cambria" w:hAnsi="Cambria"/>
        </w:rPr>
        <w:t xml:space="preserve"> a</w:t>
      </w:r>
      <w:r w:rsidR="00395803" w:rsidRPr="002854A5">
        <w:rPr>
          <w:rFonts w:ascii="Cambria" w:hAnsi="Cambria"/>
        </w:rPr>
        <w:t xml:space="preserve"> </w:t>
      </w:r>
      <w:r w:rsidR="00E2173B" w:rsidRPr="002854A5">
        <w:rPr>
          <w:rFonts w:ascii="Cambria" w:hAnsi="Cambria"/>
        </w:rPr>
        <w:t>tree</w:t>
      </w:r>
      <w:r w:rsidRPr="002854A5">
        <w:rPr>
          <w:rFonts w:ascii="Cambria" w:hAnsi="Cambria"/>
        </w:rPr>
        <w:t xml:space="preserve"> view of the GEM </w:t>
      </w:r>
      <w:r w:rsidR="00395803" w:rsidRPr="002854A5">
        <w:rPr>
          <w:rFonts w:ascii="Cambria" w:hAnsi="Cambria"/>
        </w:rPr>
        <w:t xml:space="preserve">hierarchy, </w:t>
      </w:r>
      <w:r w:rsidR="00E2173B" w:rsidRPr="002854A5">
        <w:rPr>
          <w:rFonts w:ascii="Cambria" w:hAnsi="Cambria"/>
        </w:rPr>
        <w:t>containing</w:t>
      </w:r>
      <w:r w:rsidR="00395803" w:rsidRPr="002854A5">
        <w:rPr>
          <w:rFonts w:ascii="Cambria" w:hAnsi="Cambria"/>
        </w:rPr>
        <w:t xml:space="preserve"> ten “top-level” elements </w:t>
      </w:r>
      <w:r w:rsidR="00395803" w:rsidRPr="00BE7D8E">
        <w:rPr>
          <w:rFonts w:ascii="Cambria" w:hAnsi="Cambria"/>
        </w:rPr>
        <w:t>(</w:t>
      </w:r>
      <w:r w:rsidR="001716B9" w:rsidRPr="00BE7D8E">
        <w:rPr>
          <w:rFonts w:ascii="Cambria" w:hAnsi="Cambria"/>
        </w:rPr>
        <w:t>below left</w:t>
      </w:r>
      <w:r w:rsidR="00395803" w:rsidRPr="00BE7D8E">
        <w:rPr>
          <w:rFonts w:ascii="Cambria" w:hAnsi="Cambria"/>
        </w:rPr>
        <w:t>)</w:t>
      </w:r>
      <w:r w:rsidR="00216E70" w:rsidRPr="002854A5">
        <w:rPr>
          <w:rFonts w:ascii="Cambria" w:hAnsi="Cambria"/>
        </w:rPr>
        <w:t xml:space="preserve">, which </w:t>
      </w:r>
      <w:r w:rsidR="00E2173B" w:rsidRPr="002854A5">
        <w:rPr>
          <w:rFonts w:ascii="Cambria" w:hAnsi="Cambria"/>
        </w:rPr>
        <w:t>can</w:t>
      </w:r>
      <w:r w:rsidR="00216E70" w:rsidRPr="002854A5">
        <w:rPr>
          <w:rFonts w:ascii="Cambria" w:hAnsi="Cambria"/>
        </w:rPr>
        <w:t xml:space="preserve"> be collapsed and expanded using </w:t>
      </w:r>
      <w:r w:rsidRPr="002854A5">
        <w:rPr>
          <w:rFonts w:ascii="Cambria" w:hAnsi="Cambria"/>
        </w:rPr>
        <w:t xml:space="preserve">the </w:t>
      </w:r>
      <w:r w:rsidR="00E2173B" w:rsidRPr="002854A5">
        <w:rPr>
          <w:rFonts w:ascii="Cambria" w:hAnsi="Cambria"/>
        </w:rPr>
        <w:t xml:space="preserve">plus and minus icons </w:t>
      </w:r>
      <w:r w:rsidR="00E2173B" w:rsidRPr="00BE7D8E">
        <w:rPr>
          <w:rFonts w:ascii="Cambria" w:hAnsi="Cambria"/>
        </w:rPr>
        <w:t>(</w:t>
      </w:r>
      <w:r w:rsidR="001716B9" w:rsidRPr="00BE7D8E">
        <w:rPr>
          <w:rFonts w:ascii="Cambria" w:hAnsi="Cambria"/>
        </w:rPr>
        <w:t xml:space="preserve">below </w:t>
      </w:r>
      <w:r w:rsidR="004C2560" w:rsidRPr="00BE7D8E">
        <w:rPr>
          <w:rFonts w:ascii="Cambria" w:hAnsi="Cambria"/>
        </w:rPr>
        <w:t>middle</w:t>
      </w:r>
      <w:r w:rsidR="00E2173B" w:rsidRPr="00BE7D8E">
        <w:rPr>
          <w:rFonts w:ascii="Cambria" w:hAnsi="Cambria"/>
        </w:rPr>
        <w:t>)</w:t>
      </w:r>
      <w:r w:rsidR="00E2173B" w:rsidRPr="002854A5">
        <w:rPr>
          <w:rFonts w:ascii="Cambria" w:hAnsi="Cambria"/>
        </w:rPr>
        <w:t xml:space="preserve">. </w:t>
      </w:r>
      <w:r w:rsidR="004C2560">
        <w:rPr>
          <w:rFonts w:ascii="Cambria" w:hAnsi="Cambria"/>
        </w:rPr>
        <w:t xml:space="preserve"> There is also a “Tree” feature </w:t>
      </w:r>
      <w:r w:rsidR="00BE7D8E">
        <w:rPr>
          <w:rFonts w:ascii="Cambria" w:hAnsi="Cambria"/>
        </w:rPr>
        <w:t xml:space="preserve">available from the menu bar </w:t>
      </w:r>
      <w:r w:rsidR="004C2560">
        <w:rPr>
          <w:rFonts w:ascii="Cambria" w:hAnsi="Cambria"/>
        </w:rPr>
        <w:t>(below right), which provides two dropdown items: E</w:t>
      </w:r>
      <w:r w:rsidR="004C2560" w:rsidRPr="004C2560">
        <w:rPr>
          <w:rFonts w:ascii="Cambria" w:hAnsi="Cambria"/>
        </w:rPr>
        <w:t>xpand All and Collapse All, which can be used to display all or none of the elements in the GEM tree</w:t>
      </w:r>
      <w:r w:rsidR="00BE7D8E">
        <w:rPr>
          <w:rFonts w:ascii="Cambria" w:hAnsi="Cambria"/>
        </w:rPr>
        <w:t xml:space="preserve"> (eliminating the need to individually/manually expand and collapse the items</w:t>
      </w:r>
      <w:r w:rsidR="004C2560" w:rsidRPr="004C2560">
        <w:rPr>
          <w:rFonts w:ascii="Cambria" w:hAnsi="Cambria"/>
        </w:rPr>
        <w:t>. If the tree is fully collapsed, double-clicking &lt;</w:t>
      </w:r>
      <w:proofErr w:type="spellStart"/>
      <w:r w:rsidR="004C2560" w:rsidRPr="004C2560">
        <w:rPr>
          <w:rFonts w:ascii="Cambria" w:hAnsi="Cambria"/>
        </w:rPr>
        <w:t>GuidelineDocument</w:t>
      </w:r>
      <w:proofErr w:type="spellEnd"/>
      <w:r w:rsidR="004C2560" w:rsidRPr="004C2560">
        <w:rPr>
          <w:rFonts w:ascii="Cambria" w:hAnsi="Cambria"/>
        </w:rPr>
        <w:t>&gt; will show the ten next level elements.</w:t>
      </w:r>
      <w:r w:rsidR="004C2560">
        <w:rPr>
          <w:rFonts w:ascii="Cambria" w:hAnsi="Cambria"/>
        </w:rPr>
        <w:t xml:space="preserve"> </w:t>
      </w:r>
    </w:p>
    <w:tbl>
      <w:tblPr>
        <w:tblW w:w="0" w:type="auto"/>
        <w:tblLook w:val="04A0" w:firstRow="1" w:lastRow="0" w:firstColumn="1" w:lastColumn="0" w:noHBand="0" w:noVBand="1"/>
      </w:tblPr>
      <w:tblGrid>
        <w:gridCol w:w="2735"/>
        <w:gridCol w:w="2727"/>
        <w:gridCol w:w="4618"/>
      </w:tblGrid>
      <w:tr w:rsidR="004C2560" w14:paraId="50FC70A3" w14:textId="77777777" w:rsidTr="004C2560">
        <w:tc>
          <w:tcPr>
            <w:tcW w:w="3456" w:type="dxa"/>
            <w:shd w:val="clear" w:color="auto" w:fill="auto"/>
          </w:tcPr>
          <w:p w14:paraId="6A67DA0C" w14:textId="77777777" w:rsidR="004C2560" w:rsidRPr="00E44DD0" w:rsidRDefault="004C2560" w:rsidP="00E44DD0">
            <w:pPr>
              <w:jc w:val="center"/>
              <w:rPr>
                <w:b/>
                <w:i/>
              </w:rPr>
            </w:pPr>
          </w:p>
          <w:p w14:paraId="2D24FCC4" w14:textId="77777777" w:rsidR="004C2560" w:rsidRDefault="006C681D" w:rsidP="00E44DD0">
            <w:pPr>
              <w:jc w:val="center"/>
            </w:pPr>
            <w:r w:rsidRPr="00A76093">
              <w:rPr>
                <w:noProof/>
              </w:rPr>
              <w:drawing>
                <wp:inline distT="0" distB="0" distL="0" distR="0" wp14:anchorId="6F923DBB" wp14:editId="58571090">
                  <wp:extent cx="1675130" cy="204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5130" cy="2043430"/>
                          </a:xfrm>
                          <a:prstGeom prst="rect">
                            <a:avLst/>
                          </a:prstGeom>
                          <a:noFill/>
                          <a:ln>
                            <a:noFill/>
                          </a:ln>
                        </pic:spPr>
                      </pic:pic>
                    </a:graphicData>
                  </a:graphic>
                </wp:inline>
              </w:drawing>
            </w:r>
          </w:p>
        </w:tc>
        <w:tc>
          <w:tcPr>
            <w:tcW w:w="3853" w:type="dxa"/>
            <w:shd w:val="clear" w:color="auto" w:fill="auto"/>
          </w:tcPr>
          <w:p w14:paraId="7F01AF16" w14:textId="77777777" w:rsidR="004C2560" w:rsidRPr="00E44DD0" w:rsidRDefault="004C2560" w:rsidP="00E44DD0">
            <w:pPr>
              <w:jc w:val="center"/>
              <w:rPr>
                <w:b/>
                <w:i/>
              </w:rPr>
            </w:pPr>
          </w:p>
          <w:p w14:paraId="7EA6CE8F" w14:textId="77777777" w:rsidR="004C2560" w:rsidRDefault="006C681D" w:rsidP="00E44DD0">
            <w:pPr>
              <w:jc w:val="center"/>
            </w:pPr>
            <w:r w:rsidRPr="00A76093">
              <w:rPr>
                <w:noProof/>
              </w:rPr>
              <w:drawing>
                <wp:inline distT="0" distB="0" distL="0" distR="0" wp14:anchorId="1F23583B" wp14:editId="29FC82D6">
                  <wp:extent cx="1669415" cy="31972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9415" cy="3197225"/>
                          </a:xfrm>
                          <a:prstGeom prst="rect">
                            <a:avLst/>
                          </a:prstGeom>
                          <a:noFill/>
                          <a:ln>
                            <a:noFill/>
                          </a:ln>
                        </pic:spPr>
                      </pic:pic>
                    </a:graphicData>
                  </a:graphic>
                </wp:inline>
              </w:drawing>
            </w:r>
          </w:p>
        </w:tc>
        <w:tc>
          <w:tcPr>
            <w:tcW w:w="2586" w:type="dxa"/>
          </w:tcPr>
          <w:p w14:paraId="604F2F9F" w14:textId="77777777" w:rsidR="004C2560" w:rsidRDefault="004C2560" w:rsidP="00E44DD0">
            <w:pPr>
              <w:jc w:val="center"/>
              <w:rPr>
                <w:b/>
                <w:i/>
              </w:rPr>
            </w:pPr>
          </w:p>
          <w:p w14:paraId="58E2C159" w14:textId="77777777" w:rsidR="004C2560" w:rsidRPr="004C2560" w:rsidRDefault="006C681D" w:rsidP="004C2560">
            <w:r>
              <w:rPr>
                <w:noProof/>
              </w:rPr>
              <w:drawing>
                <wp:inline distT="0" distB="0" distL="0" distR="0" wp14:anchorId="57341672" wp14:editId="044DF0EE">
                  <wp:extent cx="2927350" cy="154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0" cy="1546225"/>
                          </a:xfrm>
                          <a:prstGeom prst="rect">
                            <a:avLst/>
                          </a:prstGeom>
                          <a:noFill/>
                          <a:ln>
                            <a:noFill/>
                          </a:ln>
                        </pic:spPr>
                      </pic:pic>
                    </a:graphicData>
                  </a:graphic>
                </wp:inline>
              </w:drawing>
            </w:r>
          </w:p>
          <w:p w14:paraId="0E206454" w14:textId="77777777" w:rsidR="004C2560" w:rsidRDefault="004C2560" w:rsidP="004C2560"/>
          <w:p w14:paraId="0BB59AB3" w14:textId="77777777" w:rsidR="004C2560" w:rsidRPr="004C2560" w:rsidRDefault="004C2560" w:rsidP="004C2560">
            <w:pPr>
              <w:jc w:val="center"/>
            </w:pPr>
          </w:p>
        </w:tc>
      </w:tr>
    </w:tbl>
    <w:p w14:paraId="7F79EC1C" w14:textId="77777777" w:rsidR="00472149" w:rsidRDefault="00472149" w:rsidP="007E3976"/>
    <w:p w14:paraId="0363F8A5" w14:textId="77777777" w:rsidR="001716B9" w:rsidRDefault="001716B9" w:rsidP="001716B9">
      <w:pPr>
        <w:spacing w:after="240"/>
        <w:rPr>
          <w:rFonts w:ascii="Cambria" w:hAnsi="Cambria"/>
        </w:rPr>
      </w:pPr>
    </w:p>
    <w:p w14:paraId="2D4678D5" w14:textId="3A033734" w:rsidR="005A6323" w:rsidRPr="009F14C9" w:rsidRDefault="00E2173B" w:rsidP="001716B9">
      <w:pPr>
        <w:spacing w:after="240"/>
        <w:rPr>
          <w:rFonts w:ascii="Cambria" w:hAnsi="Cambria"/>
        </w:rPr>
      </w:pPr>
      <w:r w:rsidRPr="009F14C9">
        <w:rPr>
          <w:rFonts w:ascii="Cambria" w:hAnsi="Cambria"/>
        </w:rPr>
        <w:t xml:space="preserve">The GEM hierarchy </w:t>
      </w:r>
      <w:r w:rsidR="00F32795" w:rsidRPr="009F14C9">
        <w:rPr>
          <w:rFonts w:ascii="Cambria" w:hAnsi="Cambria"/>
        </w:rPr>
        <w:t xml:space="preserve">provides the ability to capture over </w:t>
      </w:r>
      <w:r w:rsidR="009F14C9" w:rsidRPr="009F14C9">
        <w:rPr>
          <w:rFonts w:ascii="Cambria" w:hAnsi="Cambria"/>
        </w:rPr>
        <w:t xml:space="preserve">100 </w:t>
      </w:r>
      <w:r w:rsidR="00A132D0">
        <w:rPr>
          <w:rFonts w:ascii="Cambria" w:hAnsi="Cambria"/>
        </w:rPr>
        <w:t>“</w:t>
      </w:r>
      <w:r w:rsidR="009F14C9">
        <w:rPr>
          <w:rFonts w:ascii="Cambria" w:hAnsi="Cambria"/>
        </w:rPr>
        <w:t>elements</w:t>
      </w:r>
      <w:r w:rsidR="00A132D0">
        <w:rPr>
          <w:rFonts w:ascii="Cambria" w:hAnsi="Cambria"/>
        </w:rPr>
        <w:t>”</w:t>
      </w:r>
      <w:r w:rsidR="009F14C9">
        <w:rPr>
          <w:rFonts w:ascii="Cambria" w:hAnsi="Cambria"/>
        </w:rPr>
        <w:t xml:space="preserve">, or </w:t>
      </w:r>
      <w:r w:rsidR="009F14C9" w:rsidRPr="009F14C9">
        <w:rPr>
          <w:rFonts w:ascii="Cambria" w:hAnsi="Cambria"/>
        </w:rPr>
        <w:t xml:space="preserve">unique types of </w:t>
      </w:r>
      <w:r w:rsidR="009F14C9">
        <w:rPr>
          <w:rFonts w:ascii="Cambria" w:hAnsi="Cambria"/>
        </w:rPr>
        <w:t>information about the guideline</w:t>
      </w:r>
      <w:r w:rsidR="009F14C9" w:rsidRPr="009F14C9">
        <w:rPr>
          <w:rFonts w:ascii="Cambria" w:hAnsi="Cambria"/>
        </w:rPr>
        <w:t xml:space="preserve">. </w:t>
      </w:r>
      <w:r w:rsidR="001201B9">
        <w:rPr>
          <w:rFonts w:ascii="Cambria" w:hAnsi="Cambria"/>
        </w:rPr>
        <w:t xml:space="preserve"> </w:t>
      </w:r>
      <w:r w:rsidR="009F14C9">
        <w:rPr>
          <w:rFonts w:ascii="Cambria" w:hAnsi="Cambria"/>
        </w:rPr>
        <w:t>A</w:t>
      </w:r>
      <w:r w:rsidR="00BE7D8E">
        <w:rPr>
          <w:rFonts w:ascii="Cambria" w:hAnsi="Cambria"/>
        </w:rPr>
        <w:t xml:space="preserve"> listing of the </w:t>
      </w:r>
      <w:r w:rsidR="005A6323" w:rsidRPr="009F14C9">
        <w:rPr>
          <w:rFonts w:ascii="Cambria" w:hAnsi="Cambria"/>
        </w:rPr>
        <w:t>elements and their definitions are listed below</w:t>
      </w:r>
      <w:r w:rsidR="00A132D0">
        <w:rPr>
          <w:rFonts w:ascii="Cambria" w:hAnsi="Cambria"/>
        </w:rPr>
        <w:t xml:space="preserve">. A checkmark </w:t>
      </w:r>
      <w:r w:rsidR="00A132D0" w:rsidRPr="00A132D0">
        <w:rPr>
          <w:rFonts w:ascii="Cambria" w:hAnsi="Cambria"/>
        </w:rPr>
        <w:t>(“</w:t>
      </w:r>
      <w:r w:rsidR="00A132D0" w:rsidRPr="00CA457B">
        <w:rPr>
          <w:b/>
          <w:sz w:val="24"/>
          <w:szCs w:val="24"/>
        </w:rPr>
        <w:sym w:font="Wingdings 2" w:char="F050"/>
      </w:r>
      <w:r w:rsidR="00A132D0" w:rsidRPr="00A132D0">
        <w:rPr>
          <w:rFonts w:ascii="Cambria" w:hAnsi="Cambria"/>
        </w:rPr>
        <w:t xml:space="preserve">”) </w:t>
      </w:r>
      <w:r w:rsidR="00A132D0">
        <w:rPr>
          <w:rFonts w:ascii="Cambria" w:hAnsi="Cambria"/>
        </w:rPr>
        <w:t xml:space="preserve">denotes an element currently required to be GEM-cut. </w:t>
      </w:r>
      <w:r w:rsidR="00803780">
        <w:rPr>
          <w:rFonts w:ascii="Cambria" w:hAnsi="Cambria"/>
        </w:rPr>
        <w:t xml:space="preserve"> </w:t>
      </w:r>
      <w:r w:rsidR="0097059D">
        <w:rPr>
          <w:rFonts w:ascii="Cambria" w:hAnsi="Cambria"/>
        </w:rPr>
        <w:t xml:space="preserve">Note that elements containing coding information (e.g. </w:t>
      </w:r>
      <w:r w:rsidR="0097059D" w:rsidRPr="0097059D">
        <w:rPr>
          <w:rFonts w:ascii="Cambria" w:hAnsi="Cambria"/>
        </w:rPr>
        <w:t>Inclusion Criterion Code</w:t>
      </w:r>
      <w:r w:rsidR="0097059D">
        <w:rPr>
          <w:rFonts w:ascii="Cambria" w:hAnsi="Cambria"/>
        </w:rPr>
        <w:t xml:space="preserve">, </w:t>
      </w:r>
      <w:r w:rsidR="0097059D" w:rsidRPr="0097059D">
        <w:rPr>
          <w:rFonts w:ascii="Cambria" w:hAnsi="Cambria"/>
        </w:rPr>
        <w:t>Decision Variable Code</w:t>
      </w:r>
      <w:r w:rsidR="0097059D">
        <w:rPr>
          <w:rFonts w:ascii="Cambria" w:hAnsi="Cambria"/>
        </w:rPr>
        <w:t>) will be populated by indexers rather than GEM abstractors.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564"/>
        <w:gridCol w:w="3574"/>
        <w:gridCol w:w="5438"/>
      </w:tblGrid>
      <w:tr w:rsidR="0097059D" w:rsidRPr="00AC3DDC" w14:paraId="3652CF41" w14:textId="77777777" w:rsidTr="0097059D">
        <w:trPr>
          <w:cantSplit/>
          <w:trHeight w:val="432"/>
          <w:jc w:val="center"/>
        </w:trPr>
        <w:tc>
          <w:tcPr>
            <w:tcW w:w="9576" w:type="dxa"/>
            <w:gridSpan w:val="3"/>
            <w:tcBorders>
              <w:bottom w:val="single" w:sz="4" w:space="0" w:color="auto"/>
            </w:tcBorders>
            <w:shd w:val="clear" w:color="auto" w:fill="FBD4B4"/>
            <w:vAlign w:val="center"/>
          </w:tcPr>
          <w:p w14:paraId="03964146" w14:textId="77777777" w:rsidR="005A6323" w:rsidRPr="00AC3DDC" w:rsidRDefault="005A6323" w:rsidP="00E44DD0">
            <w:pPr>
              <w:spacing w:before="20" w:afterLines="20" w:after="48" w:line="240" w:lineRule="auto"/>
              <w:rPr>
                <w:rFonts w:cs="Calibri"/>
                <w:b/>
              </w:rPr>
            </w:pPr>
            <w:r w:rsidRPr="00AC3DDC">
              <w:rPr>
                <w:rFonts w:cs="Calibri"/>
                <w:b/>
              </w:rPr>
              <w:t>Identity</w:t>
            </w:r>
          </w:p>
        </w:tc>
      </w:tr>
      <w:tr w:rsidR="0097059D" w:rsidRPr="00AC3DDC" w14:paraId="3315E5BF" w14:textId="77777777" w:rsidTr="0097059D">
        <w:trPr>
          <w:cantSplit/>
          <w:jc w:val="center"/>
        </w:trPr>
        <w:tc>
          <w:tcPr>
            <w:tcW w:w="564" w:type="dxa"/>
            <w:tcBorders>
              <w:bottom w:val="single" w:sz="4" w:space="0" w:color="auto"/>
            </w:tcBorders>
            <w:shd w:val="clear" w:color="auto" w:fill="FDE9D9"/>
            <w:vAlign w:val="center"/>
          </w:tcPr>
          <w:p w14:paraId="21E5CCA1"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FDE9D9"/>
            <w:vAlign w:val="center"/>
          </w:tcPr>
          <w:p w14:paraId="07E7F21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GEM Cut History</w:t>
            </w:r>
          </w:p>
        </w:tc>
        <w:tc>
          <w:tcPr>
            <w:tcW w:w="5438" w:type="dxa"/>
            <w:tcBorders>
              <w:bottom w:val="single" w:sz="4" w:space="0" w:color="auto"/>
            </w:tcBorders>
            <w:shd w:val="clear" w:color="auto" w:fill="FDE9D9"/>
            <w:vAlign w:val="center"/>
          </w:tcPr>
          <w:p w14:paraId="683E24C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Record of GEM file creation</w:t>
            </w:r>
          </w:p>
        </w:tc>
      </w:tr>
      <w:tr w:rsidR="0097059D" w:rsidRPr="00AC3DDC" w14:paraId="5A0A2BB1" w14:textId="77777777" w:rsidTr="0097059D">
        <w:trPr>
          <w:cantSplit/>
          <w:jc w:val="center"/>
        </w:trPr>
        <w:tc>
          <w:tcPr>
            <w:tcW w:w="564" w:type="dxa"/>
            <w:tcBorders>
              <w:bottom w:val="single" w:sz="4" w:space="0" w:color="auto"/>
            </w:tcBorders>
            <w:shd w:val="clear" w:color="auto" w:fill="FDE9D9"/>
            <w:vAlign w:val="center"/>
          </w:tcPr>
          <w:p w14:paraId="6A1BA919"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FDE9D9"/>
            <w:vAlign w:val="center"/>
          </w:tcPr>
          <w:p w14:paraId="423326AF"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GEM Cut Version</w:t>
            </w:r>
          </w:p>
        </w:tc>
        <w:tc>
          <w:tcPr>
            <w:tcW w:w="5438" w:type="dxa"/>
            <w:tcBorders>
              <w:bottom w:val="single" w:sz="4" w:space="0" w:color="auto"/>
            </w:tcBorders>
            <w:shd w:val="clear" w:color="auto" w:fill="FDE9D9"/>
            <w:vAlign w:val="center"/>
          </w:tcPr>
          <w:p w14:paraId="3F5FD20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Identification details of the current instance of the GEM file</w:t>
            </w:r>
          </w:p>
        </w:tc>
      </w:tr>
      <w:tr w:rsidR="0097059D" w:rsidRPr="00AC3DDC" w14:paraId="18D1E852" w14:textId="77777777" w:rsidTr="0097059D">
        <w:trPr>
          <w:cantSplit/>
          <w:jc w:val="center"/>
        </w:trPr>
        <w:tc>
          <w:tcPr>
            <w:tcW w:w="564" w:type="dxa"/>
            <w:tcBorders>
              <w:bottom w:val="single" w:sz="4" w:space="0" w:color="auto"/>
            </w:tcBorders>
            <w:shd w:val="clear" w:color="auto" w:fill="FDE9D9"/>
            <w:vAlign w:val="center"/>
          </w:tcPr>
          <w:p w14:paraId="533AFF83"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FDE9D9"/>
            <w:vAlign w:val="center"/>
          </w:tcPr>
          <w:p w14:paraId="1969391B"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GEM Cut Author</w:t>
            </w:r>
          </w:p>
        </w:tc>
        <w:tc>
          <w:tcPr>
            <w:tcW w:w="5438" w:type="dxa"/>
            <w:tcBorders>
              <w:bottom w:val="single" w:sz="4" w:space="0" w:color="auto"/>
            </w:tcBorders>
            <w:shd w:val="clear" w:color="auto" w:fill="FDE9D9"/>
            <w:vAlign w:val="center"/>
          </w:tcPr>
          <w:p w14:paraId="74C0859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Individual responsible for creating this version of the GEM file</w:t>
            </w:r>
          </w:p>
        </w:tc>
      </w:tr>
      <w:tr w:rsidR="0097059D" w:rsidRPr="00AC3DDC" w14:paraId="331DE82E" w14:textId="77777777" w:rsidTr="0097059D">
        <w:trPr>
          <w:cantSplit/>
          <w:jc w:val="center"/>
        </w:trPr>
        <w:tc>
          <w:tcPr>
            <w:tcW w:w="564" w:type="dxa"/>
            <w:tcBorders>
              <w:bottom w:val="single" w:sz="4" w:space="0" w:color="auto"/>
            </w:tcBorders>
            <w:shd w:val="clear" w:color="auto" w:fill="FDE9D9"/>
            <w:vAlign w:val="center"/>
          </w:tcPr>
          <w:p w14:paraId="47CA4C02"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FDE9D9"/>
            <w:vAlign w:val="center"/>
          </w:tcPr>
          <w:p w14:paraId="36D2C7BD"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GEM Cute Date</w:t>
            </w:r>
          </w:p>
        </w:tc>
        <w:tc>
          <w:tcPr>
            <w:tcW w:w="5438" w:type="dxa"/>
            <w:tcBorders>
              <w:bottom w:val="single" w:sz="4" w:space="0" w:color="auto"/>
            </w:tcBorders>
            <w:shd w:val="clear" w:color="auto" w:fill="FDE9D9"/>
            <w:vAlign w:val="center"/>
          </w:tcPr>
          <w:p w14:paraId="4F455D6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Date when this version of the GEM file was created</w:t>
            </w:r>
          </w:p>
        </w:tc>
      </w:tr>
      <w:tr w:rsidR="0097059D" w:rsidRPr="00AC3DDC" w14:paraId="126AA311" w14:textId="77777777" w:rsidTr="0097059D">
        <w:trPr>
          <w:cantSplit/>
          <w:jc w:val="center"/>
        </w:trPr>
        <w:tc>
          <w:tcPr>
            <w:tcW w:w="564" w:type="dxa"/>
            <w:shd w:val="clear" w:color="auto" w:fill="FDE9D9"/>
            <w:vAlign w:val="center"/>
          </w:tcPr>
          <w:p w14:paraId="1D60EE6D"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DE9D9"/>
            <w:vAlign w:val="center"/>
          </w:tcPr>
          <w:p w14:paraId="2AA78A8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Guideline Title</w:t>
            </w:r>
          </w:p>
        </w:tc>
        <w:tc>
          <w:tcPr>
            <w:tcW w:w="5438" w:type="dxa"/>
            <w:shd w:val="clear" w:color="auto" w:fill="FDE9D9"/>
            <w:vAlign w:val="center"/>
          </w:tcPr>
          <w:p w14:paraId="787A99C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Complete title of the guideline</w:t>
            </w:r>
          </w:p>
        </w:tc>
      </w:tr>
      <w:tr w:rsidR="0097059D" w:rsidRPr="00AC3DDC" w14:paraId="2C4C5924" w14:textId="77777777" w:rsidTr="0097059D">
        <w:trPr>
          <w:cantSplit/>
          <w:jc w:val="center"/>
        </w:trPr>
        <w:tc>
          <w:tcPr>
            <w:tcW w:w="564" w:type="dxa"/>
            <w:shd w:val="clear" w:color="auto" w:fill="FDE9D9"/>
            <w:vAlign w:val="center"/>
          </w:tcPr>
          <w:p w14:paraId="1FFE7E26"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lastRenderedPageBreak/>
              <w:sym w:font="Wingdings 2" w:char="F050"/>
            </w:r>
          </w:p>
        </w:tc>
        <w:tc>
          <w:tcPr>
            <w:tcW w:w="3574" w:type="dxa"/>
            <w:shd w:val="clear" w:color="auto" w:fill="FDE9D9"/>
            <w:vAlign w:val="center"/>
          </w:tcPr>
          <w:p w14:paraId="013A296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Citation</w:t>
            </w:r>
          </w:p>
        </w:tc>
        <w:tc>
          <w:tcPr>
            <w:tcW w:w="5438" w:type="dxa"/>
            <w:shd w:val="clear" w:color="auto" w:fill="FDE9D9"/>
            <w:vAlign w:val="center"/>
          </w:tcPr>
          <w:p w14:paraId="2F535E1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Bibliographic citation</w:t>
            </w:r>
          </w:p>
        </w:tc>
      </w:tr>
      <w:tr w:rsidR="0097059D" w:rsidRPr="00AC3DDC" w14:paraId="1F4F158B" w14:textId="77777777" w:rsidTr="0097059D">
        <w:trPr>
          <w:cantSplit/>
          <w:jc w:val="center"/>
        </w:trPr>
        <w:tc>
          <w:tcPr>
            <w:tcW w:w="564" w:type="dxa"/>
            <w:shd w:val="clear" w:color="auto" w:fill="FDE9D9"/>
            <w:vAlign w:val="center"/>
          </w:tcPr>
          <w:p w14:paraId="08048A71"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313FD067"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Guideline Length</w:t>
            </w:r>
          </w:p>
        </w:tc>
        <w:tc>
          <w:tcPr>
            <w:tcW w:w="5438" w:type="dxa"/>
            <w:shd w:val="clear" w:color="auto" w:fill="FDE9D9"/>
            <w:vAlign w:val="center"/>
          </w:tcPr>
          <w:p w14:paraId="782ADC3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Number of pages in printed document</w:t>
            </w:r>
          </w:p>
        </w:tc>
      </w:tr>
      <w:tr w:rsidR="0097059D" w:rsidRPr="00AC3DDC" w14:paraId="6EDD0A02" w14:textId="77777777" w:rsidTr="0097059D">
        <w:trPr>
          <w:cantSplit/>
          <w:jc w:val="center"/>
        </w:trPr>
        <w:tc>
          <w:tcPr>
            <w:tcW w:w="564" w:type="dxa"/>
            <w:shd w:val="clear" w:color="auto" w:fill="FDE9D9"/>
            <w:vAlign w:val="center"/>
          </w:tcPr>
          <w:p w14:paraId="37FA326A"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DE9D9"/>
            <w:vAlign w:val="center"/>
          </w:tcPr>
          <w:p w14:paraId="146CD9D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Release Date</w:t>
            </w:r>
          </w:p>
        </w:tc>
        <w:tc>
          <w:tcPr>
            <w:tcW w:w="5438" w:type="dxa"/>
            <w:shd w:val="clear" w:color="auto" w:fill="FDE9D9"/>
            <w:vAlign w:val="center"/>
          </w:tcPr>
          <w:p w14:paraId="2EEDAB9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Date the guideline was released to the public</w:t>
            </w:r>
          </w:p>
        </w:tc>
      </w:tr>
      <w:tr w:rsidR="0097059D" w:rsidRPr="00AC3DDC" w14:paraId="6197E708" w14:textId="77777777" w:rsidTr="0097059D">
        <w:trPr>
          <w:cantSplit/>
          <w:jc w:val="center"/>
        </w:trPr>
        <w:tc>
          <w:tcPr>
            <w:tcW w:w="564" w:type="dxa"/>
            <w:shd w:val="clear" w:color="auto" w:fill="FDE9D9"/>
            <w:vAlign w:val="center"/>
          </w:tcPr>
          <w:p w14:paraId="30D5F17A"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1A9DADD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Availability</w:t>
            </w:r>
          </w:p>
        </w:tc>
        <w:tc>
          <w:tcPr>
            <w:tcW w:w="5438" w:type="dxa"/>
            <w:shd w:val="clear" w:color="auto" w:fill="FDE9D9"/>
            <w:vAlign w:val="center"/>
          </w:tcPr>
          <w:p w14:paraId="2E21CBE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 xml:space="preserve">Information regarding sources of a guideline and associated documentation </w:t>
            </w:r>
          </w:p>
        </w:tc>
      </w:tr>
      <w:tr w:rsidR="0097059D" w:rsidRPr="00AC3DDC" w14:paraId="6861F078" w14:textId="77777777" w:rsidTr="0097059D">
        <w:trPr>
          <w:cantSplit/>
          <w:jc w:val="center"/>
        </w:trPr>
        <w:tc>
          <w:tcPr>
            <w:tcW w:w="564" w:type="dxa"/>
            <w:shd w:val="clear" w:color="auto" w:fill="FDE9D9"/>
            <w:vAlign w:val="center"/>
          </w:tcPr>
          <w:p w14:paraId="1B870BC1"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26DAA988"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Electronic</w:t>
            </w:r>
          </w:p>
        </w:tc>
        <w:tc>
          <w:tcPr>
            <w:tcW w:w="5438" w:type="dxa"/>
            <w:shd w:val="clear" w:color="auto" w:fill="FDE9D9"/>
            <w:vAlign w:val="center"/>
          </w:tcPr>
          <w:p w14:paraId="2DA685A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Information regarding sources of guideline in electronic format</w:t>
            </w:r>
          </w:p>
        </w:tc>
      </w:tr>
      <w:tr w:rsidR="0097059D" w:rsidRPr="00AC3DDC" w14:paraId="024FCB8C" w14:textId="77777777" w:rsidTr="0097059D">
        <w:trPr>
          <w:cantSplit/>
          <w:jc w:val="center"/>
        </w:trPr>
        <w:tc>
          <w:tcPr>
            <w:tcW w:w="564" w:type="dxa"/>
            <w:shd w:val="clear" w:color="auto" w:fill="FDE9D9"/>
            <w:vAlign w:val="center"/>
          </w:tcPr>
          <w:p w14:paraId="10530A28"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5CB95CD9"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Print</w:t>
            </w:r>
          </w:p>
        </w:tc>
        <w:tc>
          <w:tcPr>
            <w:tcW w:w="5438" w:type="dxa"/>
            <w:shd w:val="clear" w:color="auto" w:fill="FDE9D9"/>
            <w:vAlign w:val="center"/>
          </w:tcPr>
          <w:p w14:paraId="4E2BD32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Information regarding sources of guideline in print format</w:t>
            </w:r>
          </w:p>
        </w:tc>
      </w:tr>
      <w:tr w:rsidR="0097059D" w:rsidRPr="00AC3DDC" w14:paraId="4A3AE6F7" w14:textId="77777777" w:rsidTr="0097059D">
        <w:trPr>
          <w:cantSplit/>
          <w:jc w:val="center"/>
        </w:trPr>
        <w:tc>
          <w:tcPr>
            <w:tcW w:w="564" w:type="dxa"/>
            <w:tcBorders>
              <w:bottom w:val="single" w:sz="4" w:space="0" w:color="auto"/>
            </w:tcBorders>
            <w:shd w:val="clear" w:color="auto" w:fill="FDE9D9"/>
            <w:vAlign w:val="center"/>
          </w:tcPr>
          <w:p w14:paraId="4A406791"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23D1F7E0"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Contact</w:t>
            </w:r>
          </w:p>
        </w:tc>
        <w:tc>
          <w:tcPr>
            <w:tcW w:w="5438" w:type="dxa"/>
            <w:shd w:val="clear" w:color="auto" w:fill="FDE9D9"/>
            <w:vAlign w:val="center"/>
          </w:tcPr>
          <w:p w14:paraId="491F20D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Person or organization to contact for additional information about a guideline</w:t>
            </w:r>
          </w:p>
        </w:tc>
      </w:tr>
      <w:tr w:rsidR="0097059D" w:rsidRPr="00AC3DDC" w14:paraId="02E1E8AA" w14:textId="77777777" w:rsidTr="0097059D">
        <w:trPr>
          <w:cantSplit/>
          <w:jc w:val="center"/>
        </w:trPr>
        <w:tc>
          <w:tcPr>
            <w:tcW w:w="564" w:type="dxa"/>
            <w:shd w:val="clear" w:color="auto" w:fill="FDE9D9"/>
            <w:vAlign w:val="center"/>
          </w:tcPr>
          <w:p w14:paraId="50BB60EE"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3F82641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Status</w:t>
            </w:r>
          </w:p>
        </w:tc>
        <w:tc>
          <w:tcPr>
            <w:tcW w:w="5438" w:type="dxa"/>
            <w:shd w:val="clear" w:color="auto" w:fill="FDE9D9"/>
            <w:vAlign w:val="center"/>
          </w:tcPr>
          <w:p w14:paraId="0846100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Statement of whether the guideline is original or a revised or updated version of a previously issued document</w:t>
            </w:r>
          </w:p>
        </w:tc>
      </w:tr>
      <w:tr w:rsidR="0097059D" w:rsidRPr="00AC3DDC" w14:paraId="5B429B99" w14:textId="77777777" w:rsidTr="0097059D">
        <w:trPr>
          <w:cantSplit/>
          <w:jc w:val="center"/>
        </w:trPr>
        <w:tc>
          <w:tcPr>
            <w:tcW w:w="564" w:type="dxa"/>
            <w:shd w:val="clear" w:color="auto" w:fill="FDE9D9"/>
            <w:vAlign w:val="center"/>
          </w:tcPr>
          <w:p w14:paraId="2FA7687F"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4460A67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Companion Document</w:t>
            </w:r>
          </w:p>
        </w:tc>
        <w:tc>
          <w:tcPr>
            <w:tcW w:w="5438" w:type="dxa"/>
            <w:shd w:val="clear" w:color="auto" w:fill="FDE9D9"/>
            <w:vAlign w:val="center"/>
          </w:tcPr>
          <w:p w14:paraId="4ADEAA9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Refers to other documents (including Technical Reports, Consumer Guidelines, Quick Reference Guidelines) produced by the guideline developer relevant to the guideline</w:t>
            </w:r>
          </w:p>
        </w:tc>
      </w:tr>
      <w:tr w:rsidR="0097059D" w:rsidRPr="00AC3DDC" w14:paraId="2413B6AE" w14:textId="77777777" w:rsidTr="0097059D">
        <w:trPr>
          <w:cantSplit/>
          <w:jc w:val="center"/>
        </w:trPr>
        <w:tc>
          <w:tcPr>
            <w:tcW w:w="564" w:type="dxa"/>
            <w:shd w:val="clear" w:color="auto" w:fill="FDE9D9"/>
            <w:vAlign w:val="center"/>
          </w:tcPr>
          <w:p w14:paraId="25582063"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40DF4DB5"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Patient Resource</w:t>
            </w:r>
          </w:p>
        </w:tc>
        <w:tc>
          <w:tcPr>
            <w:tcW w:w="5438" w:type="dxa"/>
            <w:shd w:val="clear" w:color="auto" w:fill="FDE9D9"/>
            <w:vAlign w:val="center"/>
          </w:tcPr>
          <w:p w14:paraId="51B4E72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patient-oriented summary of guideline content or a resource intended to assist patients with guideline application.</w:t>
            </w:r>
          </w:p>
        </w:tc>
      </w:tr>
      <w:tr w:rsidR="0097059D" w:rsidRPr="00AC3DDC" w14:paraId="1A3A2F0A" w14:textId="77777777" w:rsidTr="0097059D">
        <w:trPr>
          <w:cantSplit/>
          <w:jc w:val="center"/>
        </w:trPr>
        <w:tc>
          <w:tcPr>
            <w:tcW w:w="564" w:type="dxa"/>
            <w:shd w:val="clear" w:color="auto" w:fill="FDE9D9"/>
            <w:vAlign w:val="center"/>
          </w:tcPr>
          <w:p w14:paraId="2353F4F3"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66E8C98B"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Quick Reference Guide</w:t>
            </w:r>
          </w:p>
        </w:tc>
        <w:tc>
          <w:tcPr>
            <w:tcW w:w="5438" w:type="dxa"/>
            <w:shd w:val="clear" w:color="auto" w:fill="FDE9D9"/>
            <w:vAlign w:val="center"/>
          </w:tcPr>
          <w:p w14:paraId="0B88CD5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concise document that summarizes guideline recommendations for clinicians</w:t>
            </w:r>
          </w:p>
        </w:tc>
      </w:tr>
      <w:tr w:rsidR="0097059D" w:rsidRPr="00AC3DDC" w14:paraId="4BADD428" w14:textId="77777777" w:rsidTr="0097059D">
        <w:trPr>
          <w:cantSplit/>
          <w:jc w:val="center"/>
        </w:trPr>
        <w:tc>
          <w:tcPr>
            <w:tcW w:w="564" w:type="dxa"/>
            <w:shd w:val="clear" w:color="auto" w:fill="FDE9D9"/>
            <w:vAlign w:val="center"/>
          </w:tcPr>
          <w:p w14:paraId="452B6175"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2C46A2A4"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Technical Report</w:t>
            </w:r>
          </w:p>
        </w:tc>
        <w:tc>
          <w:tcPr>
            <w:tcW w:w="5438" w:type="dxa"/>
            <w:shd w:val="clear" w:color="auto" w:fill="FDE9D9"/>
            <w:vAlign w:val="center"/>
          </w:tcPr>
          <w:p w14:paraId="2CDA3EF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document or document component that describes in detail the method of guideline development</w:t>
            </w:r>
          </w:p>
        </w:tc>
      </w:tr>
      <w:tr w:rsidR="0097059D" w:rsidRPr="00AC3DDC" w14:paraId="70791EA2" w14:textId="77777777" w:rsidTr="0097059D">
        <w:trPr>
          <w:cantSplit/>
          <w:jc w:val="center"/>
        </w:trPr>
        <w:tc>
          <w:tcPr>
            <w:tcW w:w="564" w:type="dxa"/>
            <w:shd w:val="clear" w:color="auto" w:fill="FDE9D9"/>
            <w:vAlign w:val="center"/>
          </w:tcPr>
          <w:p w14:paraId="66B0E13D" w14:textId="77777777" w:rsidR="005A6323" w:rsidRPr="00AC3DDC" w:rsidRDefault="005A6323" w:rsidP="00E44DD0">
            <w:pPr>
              <w:spacing w:before="40" w:after="40" w:line="240" w:lineRule="auto"/>
              <w:jc w:val="center"/>
              <w:rPr>
                <w:rFonts w:cs="Calibri"/>
              </w:rPr>
            </w:pPr>
          </w:p>
        </w:tc>
        <w:tc>
          <w:tcPr>
            <w:tcW w:w="3574" w:type="dxa"/>
            <w:shd w:val="clear" w:color="auto" w:fill="FDE9D9"/>
            <w:vAlign w:val="center"/>
          </w:tcPr>
          <w:p w14:paraId="2ABDD1C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Adaptation</w:t>
            </w:r>
          </w:p>
        </w:tc>
        <w:tc>
          <w:tcPr>
            <w:tcW w:w="5438" w:type="dxa"/>
            <w:shd w:val="clear" w:color="auto" w:fill="FDE9D9"/>
            <w:vAlign w:val="center"/>
          </w:tcPr>
          <w:p w14:paraId="4F25995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Indicates that the guideline has been adapted from another guideline</w:t>
            </w:r>
          </w:p>
        </w:tc>
      </w:tr>
      <w:tr w:rsidR="0097059D" w:rsidRPr="00AC3DDC" w14:paraId="4FF15A12" w14:textId="77777777" w:rsidTr="0097059D">
        <w:trPr>
          <w:cantSplit/>
          <w:jc w:val="center"/>
        </w:trPr>
        <w:tc>
          <w:tcPr>
            <w:tcW w:w="564" w:type="dxa"/>
            <w:tcBorders>
              <w:bottom w:val="single" w:sz="4" w:space="0" w:color="auto"/>
            </w:tcBorders>
            <w:shd w:val="clear" w:color="auto" w:fill="FDE9D9"/>
            <w:vAlign w:val="center"/>
          </w:tcPr>
          <w:p w14:paraId="7199203D" w14:textId="77777777" w:rsidR="005A6323" w:rsidRPr="00AC3DDC" w:rsidRDefault="005A6323" w:rsidP="00E44DD0">
            <w:pPr>
              <w:spacing w:before="40" w:after="40" w:line="240" w:lineRule="auto"/>
              <w:jc w:val="center"/>
              <w:rPr>
                <w:rFonts w:cs="Calibri"/>
              </w:rPr>
            </w:pPr>
          </w:p>
        </w:tc>
        <w:tc>
          <w:tcPr>
            <w:tcW w:w="3574" w:type="dxa"/>
            <w:tcBorders>
              <w:bottom w:val="single" w:sz="4" w:space="0" w:color="auto"/>
            </w:tcBorders>
            <w:shd w:val="clear" w:color="auto" w:fill="FDE9D9"/>
            <w:vAlign w:val="center"/>
          </w:tcPr>
          <w:p w14:paraId="1A76B9E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Structured Abstract</w:t>
            </w:r>
          </w:p>
        </w:tc>
        <w:tc>
          <w:tcPr>
            <w:tcW w:w="5438" w:type="dxa"/>
            <w:tcBorders>
              <w:bottom w:val="single" w:sz="4" w:space="0" w:color="auto"/>
            </w:tcBorders>
            <w:shd w:val="clear" w:color="auto" w:fill="FDE9D9"/>
            <w:vAlign w:val="center"/>
          </w:tcPr>
          <w:p w14:paraId="57C587A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summary statement that describes a guideline using structured headings</w:t>
            </w:r>
          </w:p>
        </w:tc>
      </w:tr>
      <w:tr w:rsidR="0097059D" w:rsidRPr="00AC3DDC" w14:paraId="59C2922A" w14:textId="77777777" w:rsidTr="0097059D">
        <w:trPr>
          <w:cantSplit/>
          <w:trHeight w:val="432"/>
          <w:jc w:val="center"/>
        </w:trPr>
        <w:tc>
          <w:tcPr>
            <w:tcW w:w="9576" w:type="dxa"/>
            <w:gridSpan w:val="3"/>
            <w:tcBorders>
              <w:bottom w:val="single" w:sz="4" w:space="0" w:color="auto"/>
            </w:tcBorders>
            <w:shd w:val="clear" w:color="auto" w:fill="D6E3BC"/>
            <w:vAlign w:val="center"/>
          </w:tcPr>
          <w:p w14:paraId="791946EB" w14:textId="77777777" w:rsidR="005A6323" w:rsidRPr="00AC3DDC" w:rsidRDefault="005A6323" w:rsidP="00E44DD0">
            <w:pPr>
              <w:spacing w:before="20" w:afterLines="20" w:after="48" w:line="240" w:lineRule="auto"/>
              <w:rPr>
                <w:rFonts w:cs="Calibri"/>
                <w:b/>
              </w:rPr>
            </w:pPr>
            <w:r w:rsidRPr="00AC3DDC">
              <w:rPr>
                <w:rFonts w:cs="Calibri"/>
                <w:b/>
              </w:rPr>
              <w:t>Developer</w:t>
            </w:r>
          </w:p>
        </w:tc>
      </w:tr>
      <w:tr w:rsidR="0097059D" w:rsidRPr="00AC3DDC" w14:paraId="4801BC24" w14:textId="77777777" w:rsidTr="0097059D">
        <w:trPr>
          <w:cantSplit/>
          <w:jc w:val="center"/>
        </w:trPr>
        <w:tc>
          <w:tcPr>
            <w:tcW w:w="564" w:type="dxa"/>
            <w:shd w:val="clear" w:color="auto" w:fill="EAF1DD"/>
            <w:vAlign w:val="center"/>
          </w:tcPr>
          <w:p w14:paraId="186E4B93"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EAF1DD"/>
            <w:vAlign w:val="center"/>
          </w:tcPr>
          <w:p w14:paraId="5A55F29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Developer Name</w:t>
            </w:r>
          </w:p>
        </w:tc>
        <w:tc>
          <w:tcPr>
            <w:tcW w:w="5438" w:type="dxa"/>
            <w:shd w:val="clear" w:color="auto" w:fill="EAF1DD"/>
            <w:vAlign w:val="center"/>
          </w:tcPr>
          <w:p w14:paraId="2E492AF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Organization(s) responsible for developing the guideline</w:t>
            </w:r>
          </w:p>
        </w:tc>
      </w:tr>
      <w:tr w:rsidR="0097059D" w:rsidRPr="00AC3DDC" w14:paraId="5447703C" w14:textId="77777777" w:rsidTr="0097059D">
        <w:trPr>
          <w:cantSplit/>
          <w:jc w:val="center"/>
        </w:trPr>
        <w:tc>
          <w:tcPr>
            <w:tcW w:w="564" w:type="dxa"/>
            <w:shd w:val="clear" w:color="auto" w:fill="EAF1DD"/>
            <w:vAlign w:val="center"/>
          </w:tcPr>
          <w:p w14:paraId="059B8155"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39BD3B9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Committee Name</w:t>
            </w:r>
          </w:p>
        </w:tc>
        <w:tc>
          <w:tcPr>
            <w:tcW w:w="5438" w:type="dxa"/>
            <w:shd w:val="clear" w:color="auto" w:fill="EAF1DD"/>
            <w:vAlign w:val="center"/>
          </w:tcPr>
          <w:p w14:paraId="2BA42C6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Formal name of committee within developer organization responsible for developing guideline</w:t>
            </w:r>
          </w:p>
        </w:tc>
      </w:tr>
      <w:tr w:rsidR="0097059D" w:rsidRPr="00AC3DDC" w14:paraId="603AA186" w14:textId="77777777" w:rsidTr="0097059D">
        <w:trPr>
          <w:cantSplit/>
          <w:jc w:val="center"/>
        </w:trPr>
        <w:tc>
          <w:tcPr>
            <w:tcW w:w="564" w:type="dxa"/>
            <w:shd w:val="clear" w:color="auto" w:fill="EAF1DD"/>
            <w:vAlign w:val="center"/>
          </w:tcPr>
          <w:p w14:paraId="53A99652"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2BF8B08A"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Committee Expertise</w:t>
            </w:r>
          </w:p>
        </w:tc>
        <w:tc>
          <w:tcPr>
            <w:tcW w:w="5438" w:type="dxa"/>
            <w:shd w:val="clear" w:color="auto" w:fill="EAF1DD"/>
            <w:vAlign w:val="center"/>
          </w:tcPr>
          <w:p w14:paraId="7E99756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Expertise present within the group that authored guideline</w:t>
            </w:r>
          </w:p>
        </w:tc>
      </w:tr>
      <w:tr w:rsidR="0097059D" w:rsidRPr="00AC3DDC" w14:paraId="6C33FFB4" w14:textId="77777777" w:rsidTr="0097059D">
        <w:trPr>
          <w:cantSplit/>
          <w:jc w:val="center"/>
        </w:trPr>
        <w:tc>
          <w:tcPr>
            <w:tcW w:w="564" w:type="dxa"/>
            <w:shd w:val="clear" w:color="auto" w:fill="EAF1DD"/>
            <w:vAlign w:val="center"/>
          </w:tcPr>
          <w:p w14:paraId="44538418"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52FF7492"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Committee Member</w:t>
            </w:r>
          </w:p>
        </w:tc>
        <w:tc>
          <w:tcPr>
            <w:tcW w:w="5438" w:type="dxa"/>
            <w:shd w:val="clear" w:color="auto" w:fill="EAF1DD"/>
            <w:vAlign w:val="center"/>
          </w:tcPr>
          <w:p w14:paraId="2D27D57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Name of member of guideline development committee</w:t>
            </w:r>
          </w:p>
        </w:tc>
      </w:tr>
      <w:tr w:rsidR="0097059D" w:rsidRPr="00AC3DDC" w14:paraId="5CD20322" w14:textId="77777777" w:rsidTr="0097059D">
        <w:trPr>
          <w:cantSplit/>
          <w:jc w:val="center"/>
        </w:trPr>
        <w:tc>
          <w:tcPr>
            <w:tcW w:w="564" w:type="dxa"/>
            <w:shd w:val="clear" w:color="auto" w:fill="EAF1DD"/>
            <w:vAlign w:val="center"/>
          </w:tcPr>
          <w:p w14:paraId="21E58A50"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7DF7E484"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Member Conflict</w:t>
            </w:r>
          </w:p>
        </w:tc>
        <w:tc>
          <w:tcPr>
            <w:tcW w:w="5438" w:type="dxa"/>
            <w:shd w:val="clear" w:color="auto" w:fill="EAF1DD"/>
            <w:vAlign w:val="center"/>
          </w:tcPr>
          <w:p w14:paraId="2A06AAC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potential source of bias (e.g., financial or intellectual) related to a panelist or potential panelist that could influence the CPG development process</w:t>
            </w:r>
          </w:p>
        </w:tc>
      </w:tr>
      <w:tr w:rsidR="0097059D" w:rsidRPr="00AC3DDC" w14:paraId="1E816B67" w14:textId="77777777" w:rsidTr="0097059D">
        <w:trPr>
          <w:cantSplit/>
          <w:jc w:val="center"/>
        </w:trPr>
        <w:tc>
          <w:tcPr>
            <w:tcW w:w="564" w:type="dxa"/>
            <w:shd w:val="clear" w:color="auto" w:fill="EAF1DD"/>
            <w:vAlign w:val="center"/>
          </w:tcPr>
          <w:p w14:paraId="7FCF18B2"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46F373B4"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Member Role</w:t>
            </w:r>
          </w:p>
        </w:tc>
        <w:tc>
          <w:tcPr>
            <w:tcW w:w="5438" w:type="dxa"/>
            <w:shd w:val="clear" w:color="auto" w:fill="EAF1DD"/>
            <w:vAlign w:val="center"/>
          </w:tcPr>
          <w:p w14:paraId="04AA90C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Expected function of a committee member, e.g., chair, epidemiologist, or implementation specialist</w:t>
            </w:r>
          </w:p>
        </w:tc>
      </w:tr>
      <w:tr w:rsidR="0097059D" w:rsidRPr="00AC3DDC" w14:paraId="2555237E" w14:textId="77777777" w:rsidTr="0097059D">
        <w:trPr>
          <w:cantSplit/>
          <w:jc w:val="center"/>
        </w:trPr>
        <w:tc>
          <w:tcPr>
            <w:tcW w:w="564" w:type="dxa"/>
            <w:shd w:val="clear" w:color="auto" w:fill="EAF1DD"/>
            <w:vAlign w:val="center"/>
          </w:tcPr>
          <w:p w14:paraId="660215F9"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7911DD33"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Member Expertise</w:t>
            </w:r>
          </w:p>
        </w:tc>
        <w:tc>
          <w:tcPr>
            <w:tcW w:w="5438" w:type="dxa"/>
            <w:shd w:val="clear" w:color="auto" w:fill="EAF1DD"/>
            <w:vAlign w:val="center"/>
          </w:tcPr>
          <w:p w14:paraId="3D5FF55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Professional expertise of individual guideline committee member</w:t>
            </w:r>
          </w:p>
        </w:tc>
      </w:tr>
      <w:tr w:rsidR="0097059D" w:rsidRPr="00AC3DDC" w14:paraId="1139DF1B" w14:textId="77777777" w:rsidTr="0097059D">
        <w:trPr>
          <w:cantSplit/>
          <w:jc w:val="center"/>
        </w:trPr>
        <w:tc>
          <w:tcPr>
            <w:tcW w:w="564" w:type="dxa"/>
            <w:shd w:val="clear" w:color="auto" w:fill="EAF1DD"/>
            <w:vAlign w:val="center"/>
          </w:tcPr>
          <w:p w14:paraId="4E3F546A"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6E9656D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Funding</w:t>
            </w:r>
          </w:p>
        </w:tc>
        <w:tc>
          <w:tcPr>
            <w:tcW w:w="5438" w:type="dxa"/>
            <w:shd w:val="clear" w:color="auto" w:fill="EAF1DD"/>
            <w:vAlign w:val="center"/>
          </w:tcPr>
          <w:p w14:paraId="188DC13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Source of financial support for guideline development</w:t>
            </w:r>
          </w:p>
        </w:tc>
      </w:tr>
      <w:tr w:rsidR="0097059D" w:rsidRPr="00AC3DDC" w14:paraId="309A5DE2" w14:textId="77777777" w:rsidTr="0097059D">
        <w:trPr>
          <w:cantSplit/>
          <w:jc w:val="center"/>
        </w:trPr>
        <w:tc>
          <w:tcPr>
            <w:tcW w:w="564" w:type="dxa"/>
            <w:shd w:val="clear" w:color="auto" w:fill="EAF1DD"/>
            <w:vAlign w:val="center"/>
          </w:tcPr>
          <w:p w14:paraId="7430C1E8"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0D8BDCD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Endorser</w:t>
            </w:r>
          </w:p>
        </w:tc>
        <w:tc>
          <w:tcPr>
            <w:tcW w:w="5438" w:type="dxa"/>
            <w:shd w:val="clear" w:color="auto" w:fill="EAF1DD"/>
            <w:vAlign w:val="center"/>
          </w:tcPr>
          <w:p w14:paraId="49A3EBD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Organization that has endorsed the guideline</w:t>
            </w:r>
          </w:p>
        </w:tc>
      </w:tr>
      <w:tr w:rsidR="0097059D" w:rsidRPr="00AC3DDC" w14:paraId="147C86C3" w14:textId="77777777" w:rsidTr="0097059D">
        <w:trPr>
          <w:cantSplit/>
          <w:jc w:val="center"/>
        </w:trPr>
        <w:tc>
          <w:tcPr>
            <w:tcW w:w="564" w:type="dxa"/>
            <w:shd w:val="clear" w:color="auto" w:fill="EAF1DD"/>
            <w:vAlign w:val="center"/>
          </w:tcPr>
          <w:p w14:paraId="2D108058"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6D18704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Comparable Guideline</w:t>
            </w:r>
          </w:p>
        </w:tc>
        <w:tc>
          <w:tcPr>
            <w:tcW w:w="5438" w:type="dxa"/>
            <w:shd w:val="clear" w:color="auto" w:fill="EAF1DD"/>
            <w:vAlign w:val="center"/>
          </w:tcPr>
          <w:p w14:paraId="5D9767F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Another guideline on the same or similar topic</w:t>
            </w:r>
          </w:p>
        </w:tc>
      </w:tr>
      <w:tr w:rsidR="0097059D" w:rsidRPr="00AC3DDC" w14:paraId="63B89028" w14:textId="77777777" w:rsidTr="0097059D">
        <w:trPr>
          <w:cantSplit/>
          <w:jc w:val="center"/>
        </w:trPr>
        <w:tc>
          <w:tcPr>
            <w:tcW w:w="564" w:type="dxa"/>
            <w:shd w:val="clear" w:color="auto" w:fill="EAF1DD"/>
            <w:vAlign w:val="center"/>
          </w:tcPr>
          <w:p w14:paraId="084AAF60" w14:textId="77777777" w:rsidR="005A6323" w:rsidRPr="00AC3DDC" w:rsidRDefault="005A6323" w:rsidP="0097059D">
            <w:pPr>
              <w:spacing w:before="20" w:afterLines="20" w:after="48" w:line="240" w:lineRule="auto"/>
              <w:jc w:val="center"/>
              <w:rPr>
                <w:rFonts w:cs="Calibri"/>
              </w:rPr>
            </w:pPr>
          </w:p>
        </w:tc>
        <w:tc>
          <w:tcPr>
            <w:tcW w:w="3574" w:type="dxa"/>
            <w:shd w:val="clear" w:color="auto" w:fill="EAF1DD"/>
            <w:vAlign w:val="center"/>
          </w:tcPr>
          <w:p w14:paraId="3436A2C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Role of Sponsor</w:t>
            </w:r>
          </w:p>
        </w:tc>
        <w:tc>
          <w:tcPr>
            <w:tcW w:w="5438" w:type="dxa"/>
            <w:shd w:val="clear" w:color="auto" w:fill="EAF1DD"/>
            <w:vAlign w:val="center"/>
          </w:tcPr>
          <w:p w14:paraId="2F0EBEC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sponsor’s part in developing, modifying, and reporting the guideline</w:t>
            </w:r>
          </w:p>
        </w:tc>
      </w:tr>
      <w:tr w:rsidR="0097059D" w:rsidRPr="00AC3DDC" w14:paraId="1362A472" w14:textId="77777777" w:rsidTr="0097059D">
        <w:trPr>
          <w:cantSplit/>
          <w:jc w:val="center"/>
        </w:trPr>
        <w:tc>
          <w:tcPr>
            <w:tcW w:w="564" w:type="dxa"/>
            <w:tcBorders>
              <w:bottom w:val="single" w:sz="4" w:space="0" w:color="auto"/>
            </w:tcBorders>
            <w:shd w:val="clear" w:color="auto" w:fill="EAF1DD"/>
            <w:vAlign w:val="center"/>
          </w:tcPr>
          <w:p w14:paraId="3A7F4884" w14:textId="77777777" w:rsidR="005A6323" w:rsidRPr="00AC3DDC" w:rsidRDefault="005A6323" w:rsidP="0097059D">
            <w:pPr>
              <w:spacing w:before="20" w:afterLines="20" w:after="48" w:line="240" w:lineRule="auto"/>
              <w:jc w:val="center"/>
              <w:rPr>
                <w:rFonts w:cs="Calibri"/>
              </w:rPr>
            </w:pPr>
          </w:p>
        </w:tc>
        <w:tc>
          <w:tcPr>
            <w:tcW w:w="3574" w:type="dxa"/>
            <w:tcBorders>
              <w:bottom w:val="single" w:sz="4" w:space="0" w:color="auto"/>
            </w:tcBorders>
            <w:shd w:val="clear" w:color="auto" w:fill="EAF1DD"/>
            <w:vAlign w:val="center"/>
          </w:tcPr>
          <w:p w14:paraId="400DBEB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Conflict of Interest</w:t>
            </w:r>
          </w:p>
        </w:tc>
        <w:tc>
          <w:tcPr>
            <w:tcW w:w="5438" w:type="dxa"/>
            <w:tcBorders>
              <w:bottom w:val="single" w:sz="4" w:space="0" w:color="auto"/>
            </w:tcBorders>
            <w:shd w:val="clear" w:color="auto" w:fill="EAF1DD"/>
            <w:vAlign w:val="center"/>
          </w:tcPr>
          <w:p w14:paraId="6A59D58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Potential situations in which financial or other considerations may compromise, or have the appearance of compromising, a developer’s professional judgment</w:t>
            </w:r>
          </w:p>
        </w:tc>
      </w:tr>
      <w:tr w:rsidR="0097059D" w:rsidRPr="00AC3DDC" w14:paraId="13989637" w14:textId="77777777" w:rsidTr="0097059D">
        <w:trPr>
          <w:cantSplit/>
          <w:jc w:val="center"/>
        </w:trPr>
        <w:tc>
          <w:tcPr>
            <w:tcW w:w="564" w:type="dxa"/>
            <w:tcBorders>
              <w:bottom w:val="single" w:sz="4" w:space="0" w:color="auto"/>
            </w:tcBorders>
            <w:shd w:val="clear" w:color="auto" w:fill="EAF1DD"/>
            <w:vAlign w:val="center"/>
          </w:tcPr>
          <w:p w14:paraId="4A4B668E"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tcBorders>
              <w:bottom w:val="single" w:sz="4" w:space="0" w:color="auto"/>
            </w:tcBorders>
            <w:shd w:val="clear" w:color="auto" w:fill="EAF1DD"/>
            <w:vAlign w:val="center"/>
          </w:tcPr>
          <w:p w14:paraId="49AA37D1"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COI Policy</w:t>
            </w:r>
          </w:p>
        </w:tc>
        <w:tc>
          <w:tcPr>
            <w:tcW w:w="5438" w:type="dxa"/>
            <w:tcBorders>
              <w:bottom w:val="single" w:sz="4" w:space="0" w:color="auto"/>
            </w:tcBorders>
            <w:shd w:val="clear" w:color="auto" w:fill="EAF1DD"/>
            <w:vAlign w:val="center"/>
          </w:tcPr>
          <w:p w14:paraId="222C2BC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Principles and strategies adopted by developer to address potential conflicts</w:t>
            </w:r>
          </w:p>
        </w:tc>
      </w:tr>
      <w:tr w:rsidR="0097059D" w:rsidRPr="00AC3DDC" w14:paraId="7CAF4B56" w14:textId="77777777" w:rsidTr="0097059D">
        <w:trPr>
          <w:cantSplit/>
          <w:jc w:val="center"/>
        </w:trPr>
        <w:tc>
          <w:tcPr>
            <w:tcW w:w="564" w:type="dxa"/>
            <w:tcBorders>
              <w:bottom w:val="single" w:sz="4" w:space="0" w:color="auto"/>
            </w:tcBorders>
            <w:shd w:val="clear" w:color="auto" w:fill="EAF1DD"/>
            <w:vAlign w:val="center"/>
          </w:tcPr>
          <w:p w14:paraId="5FC76770"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tcBorders>
              <w:bottom w:val="single" w:sz="4" w:space="0" w:color="auto"/>
            </w:tcBorders>
            <w:shd w:val="clear" w:color="auto" w:fill="EAF1DD"/>
            <w:vAlign w:val="center"/>
          </w:tcPr>
          <w:p w14:paraId="7FD81B03"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COI Disclosure</w:t>
            </w:r>
          </w:p>
        </w:tc>
        <w:tc>
          <w:tcPr>
            <w:tcW w:w="5438" w:type="dxa"/>
            <w:tcBorders>
              <w:bottom w:val="single" w:sz="4" w:space="0" w:color="auto"/>
            </w:tcBorders>
            <w:shd w:val="clear" w:color="auto" w:fill="EAF1DD"/>
            <w:vAlign w:val="center"/>
          </w:tcPr>
          <w:p w14:paraId="20912E7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Report of potential and real conflicts of interest and how they are addressed</w:t>
            </w:r>
          </w:p>
        </w:tc>
      </w:tr>
      <w:tr w:rsidR="0097059D" w:rsidRPr="00AC3DDC" w14:paraId="0F2CED44" w14:textId="77777777" w:rsidTr="0097059D">
        <w:trPr>
          <w:cantSplit/>
          <w:trHeight w:val="432"/>
          <w:jc w:val="center"/>
        </w:trPr>
        <w:tc>
          <w:tcPr>
            <w:tcW w:w="9576" w:type="dxa"/>
            <w:gridSpan w:val="3"/>
            <w:tcBorders>
              <w:bottom w:val="single" w:sz="4" w:space="0" w:color="auto"/>
            </w:tcBorders>
            <w:shd w:val="clear" w:color="auto" w:fill="B6DDE8"/>
            <w:vAlign w:val="center"/>
          </w:tcPr>
          <w:p w14:paraId="6BEA1B79" w14:textId="77777777" w:rsidR="005A6323" w:rsidRPr="00AC3DDC" w:rsidRDefault="005A6323" w:rsidP="00E44DD0">
            <w:pPr>
              <w:spacing w:before="20" w:afterLines="20" w:after="48" w:line="240" w:lineRule="auto"/>
              <w:rPr>
                <w:rFonts w:cs="Calibri"/>
                <w:b/>
              </w:rPr>
            </w:pPr>
            <w:r w:rsidRPr="00AC3DDC">
              <w:rPr>
                <w:rFonts w:cs="Calibri"/>
                <w:b/>
              </w:rPr>
              <w:t>Purpose</w:t>
            </w:r>
          </w:p>
        </w:tc>
      </w:tr>
      <w:tr w:rsidR="0097059D" w:rsidRPr="00AC3DDC" w14:paraId="554D412F" w14:textId="77777777" w:rsidTr="0097059D">
        <w:trPr>
          <w:cantSplit/>
          <w:jc w:val="center"/>
        </w:trPr>
        <w:tc>
          <w:tcPr>
            <w:tcW w:w="564" w:type="dxa"/>
            <w:shd w:val="clear" w:color="auto" w:fill="DAEEF3"/>
          </w:tcPr>
          <w:p w14:paraId="49970A5E" w14:textId="77777777" w:rsidR="005A6323" w:rsidRPr="00AC3DDC" w:rsidRDefault="005A6323" w:rsidP="00E44DD0">
            <w:pPr>
              <w:spacing w:before="20" w:afterLines="20" w:after="48" w:line="240" w:lineRule="auto"/>
              <w:rPr>
                <w:rFonts w:cs="Calibri"/>
              </w:rPr>
            </w:pPr>
          </w:p>
        </w:tc>
        <w:tc>
          <w:tcPr>
            <w:tcW w:w="3574" w:type="dxa"/>
            <w:shd w:val="clear" w:color="auto" w:fill="DAEEF3"/>
            <w:vAlign w:val="center"/>
          </w:tcPr>
          <w:p w14:paraId="4275889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Main Focus</w:t>
            </w:r>
          </w:p>
        </w:tc>
        <w:tc>
          <w:tcPr>
            <w:tcW w:w="5438" w:type="dxa"/>
            <w:shd w:val="clear" w:color="auto" w:fill="DAEEF3"/>
            <w:vAlign w:val="center"/>
          </w:tcPr>
          <w:p w14:paraId="320718C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Primary disease/condition, treatment/intervention, health practice, service, or technology addressed in the guideline main focus</w:t>
            </w:r>
          </w:p>
        </w:tc>
      </w:tr>
      <w:tr w:rsidR="0097059D" w:rsidRPr="00AC3DDC" w14:paraId="0B3B06A6" w14:textId="77777777" w:rsidTr="0097059D">
        <w:trPr>
          <w:cantSplit/>
          <w:jc w:val="center"/>
        </w:trPr>
        <w:tc>
          <w:tcPr>
            <w:tcW w:w="564" w:type="dxa"/>
            <w:shd w:val="clear" w:color="auto" w:fill="DAEEF3"/>
          </w:tcPr>
          <w:p w14:paraId="0FCA9433" w14:textId="77777777" w:rsidR="005A6323" w:rsidRPr="00AC3DDC" w:rsidRDefault="005A6323" w:rsidP="00E44DD0">
            <w:pPr>
              <w:spacing w:before="20" w:afterLines="20" w:after="48" w:line="240" w:lineRule="auto"/>
              <w:rPr>
                <w:rFonts w:cs="Calibri"/>
              </w:rPr>
            </w:pPr>
          </w:p>
        </w:tc>
        <w:tc>
          <w:tcPr>
            <w:tcW w:w="3574" w:type="dxa"/>
            <w:shd w:val="clear" w:color="auto" w:fill="DAEEF3"/>
            <w:vAlign w:val="center"/>
          </w:tcPr>
          <w:p w14:paraId="69A4201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Rationale</w:t>
            </w:r>
          </w:p>
        </w:tc>
        <w:tc>
          <w:tcPr>
            <w:tcW w:w="5438" w:type="dxa"/>
            <w:shd w:val="clear" w:color="auto" w:fill="DAEEF3"/>
            <w:vAlign w:val="center"/>
          </w:tcPr>
          <w:p w14:paraId="58713CE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Reasons for developing recommendations including why the guideline was developed/needed, e.g., evidence of practice variation or inappropriate practice</w:t>
            </w:r>
          </w:p>
        </w:tc>
      </w:tr>
      <w:tr w:rsidR="0097059D" w:rsidRPr="00AC3DDC" w14:paraId="1D9A9CA8" w14:textId="77777777" w:rsidTr="0097059D">
        <w:trPr>
          <w:cantSplit/>
          <w:jc w:val="center"/>
        </w:trPr>
        <w:tc>
          <w:tcPr>
            <w:tcW w:w="564" w:type="dxa"/>
            <w:shd w:val="clear" w:color="auto" w:fill="DAEEF3"/>
            <w:vAlign w:val="center"/>
          </w:tcPr>
          <w:p w14:paraId="727ACAC5"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DAEEF3"/>
            <w:vAlign w:val="center"/>
          </w:tcPr>
          <w:p w14:paraId="6BC1D7C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Objective</w:t>
            </w:r>
          </w:p>
        </w:tc>
        <w:tc>
          <w:tcPr>
            <w:tcW w:w="5438" w:type="dxa"/>
            <w:shd w:val="clear" w:color="auto" w:fill="DAEEF3"/>
            <w:vAlign w:val="center"/>
          </w:tcPr>
          <w:p w14:paraId="0680FDF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General goals that implementation of the guideline is intended to bring about</w:t>
            </w:r>
          </w:p>
        </w:tc>
      </w:tr>
      <w:tr w:rsidR="0097059D" w:rsidRPr="00AC3DDC" w14:paraId="529536C4" w14:textId="77777777" w:rsidTr="0097059D">
        <w:trPr>
          <w:cantSplit/>
          <w:jc w:val="center"/>
        </w:trPr>
        <w:tc>
          <w:tcPr>
            <w:tcW w:w="564" w:type="dxa"/>
            <w:shd w:val="clear" w:color="auto" w:fill="DAEEF3"/>
          </w:tcPr>
          <w:p w14:paraId="4F78A2E9" w14:textId="77777777" w:rsidR="005A6323" w:rsidRPr="00AC3DDC" w:rsidRDefault="005A6323" w:rsidP="00E44DD0">
            <w:pPr>
              <w:spacing w:before="20" w:afterLines="20" w:after="48" w:line="240" w:lineRule="auto"/>
              <w:rPr>
                <w:rFonts w:cs="Calibri"/>
              </w:rPr>
            </w:pPr>
          </w:p>
        </w:tc>
        <w:tc>
          <w:tcPr>
            <w:tcW w:w="3574" w:type="dxa"/>
            <w:shd w:val="clear" w:color="auto" w:fill="DAEEF3"/>
            <w:vAlign w:val="center"/>
          </w:tcPr>
          <w:p w14:paraId="620EA23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Available Option</w:t>
            </w:r>
          </w:p>
        </w:tc>
        <w:tc>
          <w:tcPr>
            <w:tcW w:w="5438" w:type="dxa"/>
            <w:shd w:val="clear" w:color="auto" w:fill="DAEEF3"/>
            <w:vAlign w:val="center"/>
          </w:tcPr>
          <w:p w14:paraId="6672864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Principal alternative preventive, diagnostic, or therapeutic strategies considered</w:t>
            </w:r>
          </w:p>
        </w:tc>
      </w:tr>
      <w:tr w:rsidR="0097059D" w:rsidRPr="00AC3DDC" w14:paraId="507ECA14" w14:textId="77777777" w:rsidTr="0097059D">
        <w:trPr>
          <w:cantSplit/>
          <w:jc w:val="center"/>
        </w:trPr>
        <w:tc>
          <w:tcPr>
            <w:tcW w:w="564" w:type="dxa"/>
            <w:shd w:val="clear" w:color="auto" w:fill="DAEEF3"/>
          </w:tcPr>
          <w:p w14:paraId="4162DE29" w14:textId="77777777" w:rsidR="005A6323" w:rsidRPr="00AC3DDC" w:rsidRDefault="005A6323" w:rsidP="00E44DD0">
            <w:pPr>
              <w:spacing w:before="20" w:afterLines="20" w:after="48" w:line="240" w:lineRule="auto"/>
              <w:rPr>
                <w:rFonts w:cs="Calibri"/>
              </w:rPr>
            </w:pPr>
          </w:p>
        </w:tc>
        <w:tc>
          <w:tcPr>
            <w:tcW w:w="3574" w:type="dxa"/>
            <w:shd w:val="clear" w:color="auto" w:fill="DAEEF3"/>
            <w:vAlign w:val="center"/>
          </w:tcPr>
          <w:p w14:paraId="08F1A66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Health Outcome</w:t>
            </w:r>
          </w:p>
        </w:tc>
        <w:tc>
          <w:tcPr>
            <w:tcW w:w="5438" w:type="dxa"/>
            <w:shd w:val="clear" w:color="auto" w:fill="DAEEF3"/>
            <w:vAlign w:val="center"/>
          </w:tcPr>
          <w:p w14:paraId="3988CF2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most important specific outcomes (health, economic, etc) considered in the guideline</w:t>
            </w:r>
          </w:p>
        </w:tc>
      </w:tr>
      <w:tr w:rsidR="0097059D" w:rsidRPr="00AC3DDC" w14:paraId="5AB96200" w14:textId="77777777" w:rsidTr="0097059D">
        <w:trPr>
          <w:cantSplit/>
          <w:jc w:val="center"/>
        </w:trPr>
        <w:tc>
          <w:tcPr>
            <w:tcW w:w="564" w:type="dxa"/>
            <w:tcBorders>
              <w:bottom w:val="single" w:sz="4" w:space="0" w:color="auto"/>
            </w:tcBorders>
            <w:shd w:val="clear" w:color="auto" w:fill="DAEEF3"/>
          </w:tcPr>
          <w:p w14:paraId="2B1B37BC" w14:textId="77777777" w:rsidR="005A6323" w:rsidRPr="00AC3DDC" w:rsidRDefault="005A6323" w:rsidP="00E44DD0">
            <w:pPr>
              <w:spacing w:before="20" w:afterLines="20" w:after="48" w:line="240" w:lineRule="auto"/>
              <w:rPr>
                <w:rFonts w:cs="Calibri"/>
              </w:rPr>
            </w:pPr>
          </w:p>
        </w:tc>
        <w:tc>
          <w:tcPr>
            <w:tcW w:w="3574" w:type="dxa"/>
            <w:tcBorders>
              <w:bottom w:val="single" w:sz="4" w:space="0" w:color="auto"/>
            </w:tcBorders>
            <w:shd w:val="clear" w:color="auto" w:fill="DAEEF3"/>
            <w:vAlign w:val="center"/>
          </w:tcPr>
          <w:p w14:paraId="4E35F24D"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Exception</w:t>
            </w:r>
          </w:p>
        </w:tc>
        <w:tc>
          <w:tcPr>
            <w:tcW w:w="5438" w:type="dxa"/>
            <w:tcBorders>
              <w:bottom w:val="single" w:sz="4" w:space="0" w:color="auto"/>
            </w:tcBorders>
            <w:shd w:val="clear" w:color="auto" w:fill="DAEEF3"/>
            <w:vAlign w:val="center"/>
          </w:tcPr>
          <w:p w14:paraId="069D46F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Situations in which socially relevant factors permit an exception to be made in applying the guidelines; including home and family situation, constraints on health care delivery system</w:t>
            </w:r>
          </w:p>
        </w:tc>
      </w:tr>
      <w:tr w:rsidR="0097059D" w:rsidRPr="00AC3DDC" w14:paraId="1259BE37" w14:textId="77777777" w:rsidTr="0097059D">
        <w:trPr>
          <w:cantSplit/>
          <w:trHeight w:val="432"/>
          <w:jc w:val="center"/>
        </w:trPr>
        <w:tc>
          <w:tcPr>
            <w:tcW w:w="9576" w:type="dxa"/>
            <w:gridSpan w:val="3"/>
            <w:tcBorders>
              <w:bottom w:val="single" w:sz="4" w:space="0" w:color="auto"/>
            </w:tcBorders>
            <w:shd w:val="clear" w:color="auto" w:fill="E5B8B7"/>
            <w:vAlign w:val="center"/>
          </w:tcPr>
          <w:p w14:paraId="14F19124" w14:textId="77777777" w:rsidR="005A6323" w:rsidRPr="00AC3DDC" w:rsidRDefault="005A6323" w:rsidP="00E44DD0">
            <w:pPr>
              <w:spacing w:before="20" w:afterLines="20" w:after="48" w:line="240" w:lineRule="auto"/>
              <w:rPr>
                <w:rFonts w:cs="Calibri"/>
                <w:b/>
              </w:rPr>
            </w:pPr>
            <w:r w:rsidRPr="00AC3DDC">
              <w:rPr>
                <w:rFonts w:cs="Calibri"/>
                <w:b/>
              </w:rPr>
              <w:t>Intended Audience</w:t>
            </w:r>
          </w:p>
        </w:tc>
      </w:tr>
      <w:tr w:rsidR="0097059D" w:rsidRPr="00AC3DDC" w14:paraId="7948479D" w14:textId="77777777" w:rsidTr="0097059D">
        <w:trPr>
          <w:cantSplit/>
          <w:jc w:val="center"/>
        </w:trPr>
        <w:tc>
          <w:tcPr>
            <w:tcW w:w="564" w:type="dxa"/>
            <w:shd w:val="clear" w:color="auto" w:fill="F2DBDB"/>
            <w:vAlign w:val="center"/>
          </w:tcPr>
          <w:p w14:paraId="17E2F6EF"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2DBDB"/>
            <w:vAlign w:val="center"/>
          </w:tcPr>
          <w:p w14:paraId="7927F61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Users</w:t>
            </w:r>
          </w:p>
        </w:tc>
        <w:tc>
          <w:tcPr>
            <w:tcW w:w="5438" w:type="dxa"/>
            <w:shd w:val="clear" w:color="auto" w:fill="F2DBDB"/>
            <w:vAlign w:val="center"/>
          </w:tcPr>
          <w:p w14:paraId="0D18538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Intended users of guideline information</w:t>
            </w:r>
          </w:p>
        </w:tc>
      </w:tr>
      <w:tr w:rsidR="0097059D" w:rsidRPr="00AC3DDC" w14:paraId="2DCC5D36" w14:textId="77777777" w:rsidTr="0097059D">
        <w:trPr>
          <w:cantSplit/>
          <w:jc w:val="center"/>
        </w:trPr>
        <w:tc>
          <w:tcPr>
            <w:tcW w:w="564" w:type="dxa"/>
            <w:tcBorders>
              <w:bottom w:val="single" w:sz="4" w:space="0" w:color="auto"/>
            </w:tcBorders>
            <w:shd w:val="clear" w:color="auto" w:fill="F2DBDB"/>
            <w:vAlign w:val="center"/>
          </w:tcPr>
          <w:p w14:paraId="64F04460" w14:textId="77777777" w:rsidR="005A6323" w:rsidRPr="00AC3DDC" w:rsidRDefault="005A6323" w:rsidP="00E44DD0">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F2DBDB"/>
            <w:vAlign w:val="center"/>
          </w:tcPr>
          <w:p w14:paraId="707BF7E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Care Setting</w:t>
            </w:r>
          </w:p>
        </w:tc>
        <w:tc>
          <w:tcPr>
            <w:tcW w:w="5438" w:type="dxa"/>
            <w:tcBorders>
              <w:bottom w:val="single" w:sz="4" w:space="0" w:color="auto"/>
            </w:tcBorders>
            <w:shd w:val="clear" w:color="auto" w:fill="F2DBDB"/>
            <w:vAlign w:val="center"/>
          </w:tcPr>
          <w:p w14:paraId="5EE261B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settings in which the guideline is intended for use</w:t>
            </w:r>
          </w:p>
        </w:tc>
      </w:tr>
      <w:tr w:rsidR="0097059D" w:rsidRPr="00AC3DDC" w14:paraId="469B0C4E" w14:textId="77777777" w:rsidTr="0097059D">
        <w:trPr>
          <w:cantSplit/>
          <w:trHeight w:val="432"/>
          <w:jc w:val="center"/>
        </w:trPr>
        <w:tc>
          <w:tcPr>
            <w:tcW w:w="9576" w:type="dxa"/>
            <w:gridSpan w:val="3"/>
            <w:tcBorders>
              <w:bottom w:val="single" w:sz="4" w:space="0" w:color="auto"/>
            </w:tcBorders>
            <w:shd w:val="clear" w:color="auto" w:fill="CCC0D9"/>
            <w:vAlign w:val="center"/>
          </w:tcPr>
          <w:p w14:paraId="1420BA62" w14:textId="77777777" w:rsidR="005A6323" w:rsidRPr="00AC3DDC" w:rsidRDefault="005A6323" w:rsidP="00E44DD0">
            <w:pPr>
              <w:spacing w:before="20" w:afterLines="20" w:after="48" w:line="240" w:lineRule="auto"/>
              <w:rPr>
                <w:rFonts w:cs="Calibri"/>
                <w:b/>
              </w:rPr>
            </w:pPr>
            <w:r w:rsidRPr="00AC3DDC">
              <w:rPr>
                <w:rFonts w:cs="Calibri"/>
                <w:b/>
              </w:rPr>
              <w:t>Method of Development</w:t>
            </w:r>
          </w:p>
        </w:tc>
      </w:tr>
      <w:tr w:rsidR="0097059D" w:rsidRPr="00AC3DDC" w14:paraId="30B63C91" w14:textId="77777777" w:rsidTr="0097059D">
        <w:trPr>
          <w:cantSplit/>
          <w:jc w:val="center"/>
        </w:trPr>
        <w:tc>
          <w:tcPr>
            <w:tcW w:w="564" w:type="dxa"/>
            <w:shd w:val="clear" w:color="auto" w:fill="E5DFEC"/>
            <w:vAlign w:val="center"/>
          </w:tcPr>
          <w:p w14:paraId="4533E9D9"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E5DFEC"/>
            <w:vAlign w:val="center"/>
          </w:tcPr>
          <w:p w14:paraId="739EF7A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Patient and Public Involvement</w:t>
            </w:r>
          </w:p>
        </w:tc>
        <w:tc>
          <w:tcPr>
            <w:tcW w:w="5438" w:type="dxa"/>
            <w:shd w:val="clear" w:color="auto" w:fill="E5DFEC"/>
            <w:vAlign w:val="center"/>
          </w:tcPr>
          <w:p w14:paraId="3490C3D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Role of patients, advocates, consumer organizations in guideline development and review</w:t>
            </w:r>
          </w:p>
        </w:tc>
      </w:tr>
      <w:tr w:rsidR="0097059D" w:rsidRPr="00AC3DDC" w14:paraId="41FBBA11" w14:textId="77777777" w:rsidTr="0097059D">
        <w:trPr>
          <w:cantSplit/>
          <w:jc w:val="center"/>
        </w:trPr>
        <w:tc>
          <w:tcPr>
            <w:tcW w:w="564" w:type="dxa"/>
            <w:shd w:val="clear" w:color="auto" w:fill="E5DFEC"/>
            <w:vAlign w:val="center"/>
          </w:tcPr>
          <w:p w14:paraId="5A3E4D42"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2326BADD"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Description of Evidence Collection</w:t>
            </w:r>
          </w:p>
        </w:tc>
        <w:tc>
          <w:tcPr>
            <w:tcW w:w="5438" w:type="dxa"/>
            <w:shd w:val="clear" w:color="auto" w:fill="E5DFEC"/>
            <w:vAlign w:val="center"/>
          </w:tcPr>
          <w:p w14:paraId="1FDB7A9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description of methods used to collect, identify, and retrieve scientific evidence on each question on which recommendations are based, including details on computer searches (including dates) and use of personal files and bibliographies</w:t>
            </w:r>
          </w:p>
        </w:tc>
      </w:tr>
      <w:tr w:rsidR="0097059D" w:rsidRPr="00AC3DDC" w14:paraId="0C1D1ADF" w14:textId="77777777" w:rsidTr="0097059D">
        <w:trPr>
          <w:cantSplit/>
          <w:jc w:val="center"/>
        </w:trPr>
        <w:tc>
          <w:tcPr>
            <w:tcW w:w="564" w:type="dxa"/>
            <w:shd w:val="clear" w:color="auto" w:fill="E5DFEC"/>
            <w:vAlign w:val="center"/>
          </w:tcPr>
          <w:p w14:paraId="711E00A1"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270B1441"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Evidence Time Period</w:t>
            </w:r>
          </w:p>
        </w:tc>
        <w:tc>
          <w:tcPr>
            <w:tcW w:w="5438" w:type="dxa"/>
            <w:shd w:val="clear" w:color="auto" w:fill="E5DFEC"/>
            <w:vAlign w:val="center"/>
          </w:tcPr>
          <w:p w14:paraId="6F14CD8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Publication date of earliest and most recent evidence considered</w:t>
            </w:r>
          </w:p>
        </w:tc>
      </w:tr>
      <w:tr w:rsidR="0097059D" w:rsidRPr="00AC3DDC" w14:paraId="075FB2CD" w14:textId="77777777" w:rsidTr="0097059D">
        <w:trPr>
          <w:cantSplit/>
          <w:jc w:val="center"/>
        </w:trPr>
        <w:tc>
          <w:tcPr>
            <w:tcW w:w="564" w:type="dxa"/>
            <w:shd w:val="clear" w:color="auto" w:fill="E5DFEC"/>
            <w:vAlign w:val="center"/>
          </w:tcPr>
          <w:p w14:paraId="539C8F4A"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3831DF27"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Number of Source Documents</w:t>
            </w:r>
          </w:p>
        </w:tc>
        <w:tc>
          <w:tcPr>
            <w:tcW w:w="5438" w:type="dxa"/>
            <w:shd w:val="clear" w:color="auto" w:fill="E5DFEC"/>
            <w:vAlign w:val="center"/>
          </w:tcPr>
          <w:p w14:paraId="6C4AA9C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Number of source documents identified</w:t>
            </w:r>
          </w:p>
        </w:tc>
      </w:tr>
      <w:tr w:rsidR="0097059D" w:rsidRPr="00AC3DDC" w14:paraId="18E98BA2" w14:textId="77777777" w:rsidTr="0097059D">
        <w:trPr>
          <w:cantSplit/>
          <w:jc w:val="center"/>
        </w:trPr>
        <w:tc>
          <w:tcPr>
            <w:tcW w:w="564" w:type="dxa"/>
            <w:shd w:val="clear" w:color="auto" w:fill="E5DFEC"/>
            <w:vAlign w:val="center"/>
          </w:tcPr>
          <w:p w14:paraId="7D5B19D7"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2AFB563A"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Evidence Selection Criteria</w:t>
            </w:r>
          </w:p>
        </w:tc>
        <w:tc>
          <w:tcPr>
            <w:tcW w:w="5438" w:type="dxa"/>
            <w:shd w:val="clear" w:color="auto" w:fill="E5DFEC"/>
            <w:vAlign w:val="center"/>
          </w:tcPr>
          <w:p w14:paraId="0727B22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Methods used to choose the evidence that informs guideline development, including inclusion and exclusion criteria for specific studies</w:t>
            </w:r>
          </w:p>
        </w:tc>
      </w:tr>
      <w:tr w:rsidR="0097059D" w:rsidRPr="00AC3DDC" w14:paraId="72AA9D27" w14:textId="77777777" w:rsidTr="0097059D">
        <w:trPr>
          <w:cantSplit/>
          <w:jc w:val="center"/>
        </w:trPr>
        <w:tc>
          <w:tcPr>
            <w:tcW w:w="564" w:type="dxa"/>
            <w:shd w:val="clear" w:color="auto" w:fill="E5DFEC"/>
            <w:vAlign w:val="center"/>
          </w:tcPr>
          <w:p w14:paraId="529E920E"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2855F28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Description of Evidence Combination</w:t>
            </w:r>
          </w:p>
        </w:tc>
        <w:tc>
          <w:tcPr>
            <w:tcW w:w="5438" w:type="dxa"/>
            <w:shd w:val="clear" w:color="auto" w:fill="E5DFEC"/>
            <w:vAlign w:val="center"/>
          </w:tcPr>
          <w:p w14:paraId="044553C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Method of synthesis used to combine the scientific evidence quantitatively or otherwise</w:t>
            </w:r>
          </w:p>
        </w:tc>
      </w:tr>
      <w:tr w:rsidR="0097059D" w:rsidRPr="00AC3DDC" w14:paraId="56DC5FCF" w14:textId="77777777" w:rsidTr="0097059D">
        <w:trPr>
          <w:cantSplit/>
          <w:jc w:val="center"/>
        </w:trPr>
        <w:tc>
          <w:tcPr>
            <w:tcW w:w="564" w:type="dxa"/>
            <w:shd w:val="clear" w:color="auto" w:fill="E5DFEC"/>
            <w:vAlign w:val="center"/>
          </w:tcPr>
          <w:p w14:paraId="165BC80C"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5A1636F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Cost Analysis</w:t>
            </w:r>
          </w:p>
        </w:tc>
        <w:tc>
          <w:tcPr>
            <w:tcW w:w="5438" w:type="dxa"/>
            <w:shd w:val="clear" w:color="auto" w:fill="E5DFEC"/>
            <w:vAlign w:val="center"/>
          </w:tcPr>
          <w:p w14:paraId="2147B44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Describes any formal cost analysis performed</w:t>
            </w:r>
          </w:p>
        </w:tc>
      </w:tr>
      <w:tr w:rsidR="0097059D" w:rsidRPr="00AC3DDC" w14:paraId="50E86B58" w14:textId="77777777" w:rsidTr="0097059D">
        <w:trPr>
          <w:cantSplit/>
          <w:jc w:val="center"/>
        </w:trPr>
        <w:tc>
          <w:tcPr>
            <w:tcW w:w="564" w:type="dxa"/>
            <w:shd w:val="clear" w:color="auto" w:fill="E5DFEC"/>
            <w:vAlign w:val="center"/>
          </w:tcPr>
          <w:p w14:paraId="5F547BBD"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471BDEF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Specification of Harm(s) and Benefit(s)</w:t>
            </w:r>
          </w:p>
        </w:tc>
        <w:tc>
          <w:tcPr>
            <w:tcW w:w="5438" w:type="dxa"/>
            <w:shd w:val="clear" w:color="auto" w:fill="E5DFEC"/>
            <w:vAlign w:val="center"/>
          </w:tcPr>
          <w:p w14:paraId="1344C93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Qualitative description of anticipated benefits and potential risks associated with implementation of guideline</w:t>
            </w:r>
          </w:p>
        </w:tc>
      </w:tr>
      <w:tr w:rsidR="0097059D" w:rsidRPr="00AC3DDC" w14:paraId="6720DEB8" w14:textId="77777777" w:rsidTr="0097059D">
        <w:trPr>
          <w:cantSplit/>
          <w:jc w:val="center"/>
        </w:trPr>
        <w:tc>
          <w:tcPr>
            <w:tcW w:w="564" w:type="dxa"/>
            <w:shd w:val="clear" w:color="auto" w:fill="E5DFEC"/>
            <w:vAlign w:val="center"/>
          </w:tcPr>
          <w:p w14:paraId="7F6AEE6D"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4449B52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Quantification of Harm(s) and Benefit(s)</w:t>
            </w:r>
          </w:p>
        </w:tc>
        <w:tc>
          <w:tcPr>
            <w:tcW w:w="5438" w:type="dxa"/>
            <w:shd w:val="clear" w:color="auto" w:fill="E5DFEC"/>
            <w:vAlign w:val="center"/>
          </w:tcPr>
          <w:p w14:paraId="5AB8304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Quantification of benefits or risks associated with implementation of guideline</w:t>
            </w:r>
          </w:p>
        </w:tc>
      </w:tr>
      <w:tr w:rsidR="0097059D" w:rsidRPr="00AC3DDC" w14:paraId="2010D345" w14:textId="77777777" w:rsidTr="0097059D">
        <w:trPr>
          <w:cantSplit/>
          <w:jc w:val="center"/>
        </w:trPr>
        <w:tc>
          <w:tcPr>
            <w:tcW w:w="564" w:type="dxa"/>
            <w:shd w:val="clear" w:color="auto" w:fill="E5DFEC"/>
            <w:vAlign w:val="center"/>
          </w:tcPr>
          <w:p w14:paraId="730D2B42"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5B416AD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Role of Value Judgment</w:t>
            </w:r>
          </w:p>
        </w:tc>
        <w:tc>
          <w:tcPr>
            <w:tcW w:w="5438" w:type="dxa"/>
            <w:shd w:val="clear" w:color="auto" w:fill="E5DFEC"/>
            <w:vAlign w:val="center"/>
          </w:tcPr>
          <w:p w14:paraId="77AC178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Implicit or explicit process for judging relative desirability of health, economic, and process outcomes associated with alternative practices</w:t>
            </w:r>
          </w:p>
        </w:tc>
      </w:tr>
      <w:tr w:rsidR="0097059D" w:rsidRPr="00AC3DDC" w14:paraId="74C16BC1" w14:textId="77777777" w:rsidTr="0097059D">
        <w:trPr>
          <w:cantSplit/>
          <w:jc w:val="center"/>
        </w:trPr>
        <w:tc>
          <w:tcPr>
            <w:tcW w:w="564" w:type="dxa"/>
            <w:shd w:val="clear" w:color="auto" w:fill="E5DFEC"/>
            <w:vAlign w:val="center"/>
          </w:tcPr>
          <w:p w14:paraId="4085BD88"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65C4DE7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Role of Patient Preference</w:t>
            </w:r>
          </w:p>
        </w:tc>
        <w:tc>
          <w:tcPr>
            <w:tcW w:w="5438" w:type="dxa"/>
            <w:shd w:val="clear" w:color="auto" w:fill="E5DFEC"/>
            <w:vAlign w:val="center"/>
          </w:tcPr>
          <w:p w14:paraId="4C97C08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Role of patient preferences for possible outcomes of care when the appropriateness of a clinical intervention involves a substantial element of personal choice or values</w:t>
            </w:r>
          </w:p>
        </w:tc>
      </w:tr>
      <w:tr w:rsidR="0097059D" w:rsidRPr="00AC3DDC" w14:paraId="4744208C" w14:textId="77777777" w:rsidTr="0097059D">
        <w:trPr>
          <w:cantSplit/>
          <w:jc w:val="center"/>
        </w:trPr>
        <w:tc>
          <w:tcPr>
            <w:tcW w:w="564" w:type="dxa"/>
            <w:shd w:val="clear" w:color="auto" w:fill="E5DFEC"/>
            <w:vAlign w:val="center"/>
          </w:tcPr>
          <w:p w14:paraId="3B4FC938"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7EE737C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Qualifying Statement</w:t>
            </w:r>
          </w:p>
        </w:tc>
        <w:tc>
          <w:tcPr>
            <w:tcW w:w="5438" w:type="dxa"/>
            <w:shd w:val="clear" w:color="auto" w:fill="E5DFEC"/>
            <w:vAlign w:val="center"/>
          </w:tcPr>
          <w:p w14:paraId="0754476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Important caveat relating to a major recommendation. Identifies an area of uncertainty</w:t>
            </w:r>
          </w:p>
        </w:tc>
      </w:tr>
      <w:tr w:rsidR="0097059D" w:rsidRPr="00AC3DDC" w14:paraId="4B595F18" w14:textId="77777777" w:rsidTr="0097059D">
        <w:trPr>
          <w:cantSplit/>
          <w:jc w:val="center"/>
        </w:trPr>
        <w:tc>
          <w:tcPr>
            <w:tcW w:w="564" w:type="dxa"/>
            <w:shd w:val="clear" w:color="auto" w:fill="E5DFEC"/>
            <w:vAlign w:val="center"/>
          </w:tcPr>
          <w:p w14:paraId="1BA16471" w14:textId="77777777" w:rsidR="005A6323" w:rsidRPr="00AC3DDC" w:rsidRDefault="005A6323" w:rsidP="0097059D">
            <w:pPr>
              <w:spacing w:before="20" w:afterLines="20" w:after="48" w:line="240" w:lineRule="auto"/>
              <w:jc w:val="center"/>
              <w:rPr>
                <w:rFonts w:cs="Calibri"/>
              </w:rPr>
            </w:pPr>
          </w:p>
        </w:tc>
        <w:tc>
          <w:tcPr>
            <w:tcW w:w="3574" w:type="dxa"/>
            <w:shd w:val="clear" w:color="auto" w:fill="E5DFEC"/>
            <w:vAlign w:val="center"/>
          </w:tcPr>
          <w:p w14:paraId="199704C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Methods to Reach Judgment</w:t>
            </w:r>
          </w:p>
        </w:tc>
        <w:tc>
          <w:tcPr>
            <w:tcW w:w="5438" w:type="dxa"/>
            <w:shd w:val="clear" w:color="auto" w:fill="E5DFEC"/>
            <w:vAlign w:val="center"/>
          </w:tcPr>
          <w:p w14:paraId="519E922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Group judgment techniques used to reach judgment on recommendations; a description of how the developer made the transition from evidence to recommendation</w:t>
            </w:r>
          </w:p>
        </w:tc>
      </w:tr>
      <w:tr w:rsidR="0097059D" w:rsidRPr="00AC3DDC" w14:paraId="556868C6" w14:textId="77777777" w:rsidTr="0097059D">
        <w:trPr>
          <w:cantSplit/>
          <w:jc w:val="center"/>
        </w:trPr>
        <w:tc>
          <w:tcPr>
            <w:tcW w:w="564" w:type="dxa"/>
            <w:shd w:val="clear" w:color="auto" w:fill="E5DFEC"/>
            <w:vAlign w:val="center"/>
          </w:tcPr>
          <w:p w14:paraId="3EA20AC3"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E5DFEC"/>
            <w:vAlign w:val="center"/>
          </w:tcPr>
          <w:p w14:paraId="6983BC0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Rating Scheme</w:t>
            </w:r>
          </w:p>
        </w:tc>
        <w:tc>
          <w:tcPr>
            <w:tcW w:w="5438" w:type="dxa"/>
            <w:shd w:val="clear" w:color="auto" w:fill="E5DFEC"/>
            <w:vAlign w:val="center"/>
          </w:tcPr>
          <w:p w14:paraId="7DD0FC3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Criteria for rating quality of evidence and/or strength of recommendation</w:t>
            </w:r>
          </w:p>
        </w:tc>
      </w:tr>
      <w:tr w:rsidR="0097059D" w:rsidRPr="00AC3DDC" w14:paraId="2420EC94" w14:textId="77777777" w:rsidTr="0097059D">
        <w:trPr>
          <w:cantSplit/>
          <w:jc w:val="center"/>
        </w:trPr>
        <w:tc>
          <w:tcPr>
            <w:tcW w:w="564" w:type="dxa"/>
            <w:shd w:val="clear" w:color="auto" w:fill="E5DFEC"/>
            <w:vAlign w:val="center"/>
          </w:tcPr>
          <w:p w14:paraId="218866F2"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E5DFEC"/>
            <w:vAlign w:val="center"/>
          </w:tcPr>
          <w:p w14:paraId="08E224CA"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Evidence Quality Rating Scheme</w:t>
            </w:r>
          </w:p>
        </w:tc>
        <w:tc>
          <w:tcPr>
            <w:tcW w:w="5438" w:type="dxa"/>
            <w:shd w:val="clear" w:color="auto" w:fill="E5DFEC"/>
            <w:vAlign w:val="center"/>
          </w:tcPr>
          <w:p w14:paraId="66AA08C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Criteria for rating quality of evidence</w:t>
            </w:r>
          </w:p>
        </w:tc>
      </w:tr>
      <w:tr w:rsidR="0097059D" w:rsidRPr="00AC3DDC" w14:paraId="1E314FBB" w14:textId="77777777" w:rsidTr="0097059D">
        <w:trPr>
          <w:cantSplit/>
          <w:jc w:val="center"/>
        </w:trPr>
        <w:tc>
          <w:tcPr>
            <w:tcW w:w="564" w:type="dxa"/>
            <w:tcBorders>
              <w:bottom w:val="single" w:sz="4" w:space="0" w:color="auto"/>
            </w:tcBorders>
            <w:shd w:val="clear" w:color="auto" w:fill="E5DFEC"/>
            <w:vAlign w:val="center"/>
          </w:tcPr>
          <w:p w14:paraId="1E20BB84"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E5DFEC"/>
            <w:vAlign w:val="center"/>
          </w:tcPr>
          <w:p w14:paraId="68C670F2"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Recommendation Strength Rating Scheme</w:t>
            </w:r>
          </w:p>
        </w:tc>
        <w:tc>
          <w:tcPr>
            <w:tcW w:w="5438" w:type="dxa"/>
            <w:tcBorders>
              <w:bottom w:val="single" w:sz="4" w:space="0" w:color="auto"/>
            </w:tcBorders>
            <w:shd w:val="clear" w:color="auto" w:fill="E5DFEC"/>
            <w:vAlign w:val="center"/>
          </w:tcPr>
          <w:p w14:paraId="1FE7E46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Criteria for rating strength of recommendation</w:t>
            </w:r>
          </w:p>
        </w:tc>
      </w:tr>
      <w:tr w:rsidR="0097059D" w:rsidRPr="00AC3DDC" w14:paraId="148CA59C" w14:textId="77777777" w:rsidTr="0097059D">
        <w:trPr>
          <w:cantSplit/>
          <w:trHeight w:val="432"/>
          <w:jc w:val="center"/>
        </w:trPr>
        <w:tc>
          <w:tcPr>
            <w:tcW w:w="9576" w:type="dxa"/>
            <w:gridSpan w:val="3"/>
            <w:tcBorders>
              <w:bottom w:val="single" w:sz="4" w:space="0" w:color="auto"/>
            </w:tcBorders>
            <w:shd w:val="clear" w:color="auto" w:fill="DDD9C3"/>
            <w:vAlign w:val="center"/>
          </w:tcPr>
          <w:p w14:paraId="64CC8163" w14:textId="77777777" w:rsidR="005A6323" w:rsidRPr="00AC3DDC" w:rsidRDefault="005A6323" w:rsidP="00E44DD0">
            <w:pPr>
              <w:spacing w:before="20" w:afterLines="20" w:after="48" w:line="240" w:lineRule="auto"/>
              <w:rPr>
                <w:rFonts w:cs="Calibri"/>
                <w:b/>
              </w:rPr>
            </w:pPr>
            <w:r w:rsidRPr="00AC3DDC">
              <w:rPr>
                <w:rFonts w:cs="Calibri"/>
                <w:b/>
              </w:rPr>
              <w:t>Target Population</w:t>
            </w:r>
          </w:p>
        </w:tc>
      </w:tr>
      <w:tr w:rsidR="0097059D" w:rsidRPr="00AC3DDC" w14:paraId="56709C04" w14:textId="77777777" w:rsidTr="0097059D">
        <w:trPr>
          <w:cantSplit/>
          <w:jc w:val="center"/>
        </w:trPr>
        <w:tc>
          <w:tcPr>
            <w:tcW w:w="564" w:type="dxa"/>
            <w:shd w:val="clear" w:color="auto" w:fill="EEECE1"/>
            <w:vAlign w:val="center"/>
          </w:tcPr>
          <w:p w14:paraId="72BA01B3"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EEECE1"/>
            <w:vAlign w:val="center"/>
          </w:tcPr>
          <w:p w14:paraId="64E01A6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Eligibility</w:t>
            </w:r>
          </w:p>
        </w:tc>
        <w:tc>
          <w:tcPr>
            <w:tcW w:w="5438" w:type="dxa"/>
            <w:shd w:val="clear" w:color="auto" w:fill="EEECE1"/>
            <w:vAlign w:val="center"/>
          </w:tcPr>
          <w:p w14:paraId="04629EB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Describes population that the recommendations are intended to affect; identifies restrictions on guideline use such as within a managed care organization or geographic region</w:t>
            </w:r>
          </w:p>
        </w:tc>
      </w:tr>
      <w:tr w:rsidR="0097059D" w:rsidRPr="00AC3DDC" w14:paraId="56F8410F" w14:textId="77777777" w:rsidTr="0097059D">
        <w:trPr>
          <w:cantSplit/>
          <w:jc w:val="center"/>
        </w:trPr>
        <w:tc>
          <w:tcPr>
            <w:tcW w:w="564" w:type="dxa"/>
            <w:shd w:val="clear" w:color="auto" w:fill="EEECE1"/>
            <w:vAlign w:val="center"/>
          </w:tcPr>
          <w:p w14:paraId="391E19C0"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EEECE1"/>
            <w:vAlign w:val="center"/>
          </w:tcPr>
          <w:p w14:paraId="52CE9B7D"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Inclusion Criteria</w:t>
            </w:r>
          </w:p>
        </w:tc>
        <w:tc>
          <w:tcPr>
            <w:tcW w:w="5438" w:type="dxa"/>
            <w:shd w:val="clear" w:color="auto" w:fill="EEECE1"/>
            <w:vAlign w:val="center"/>
          </w:tcPr>
          <w:p w14:paraId="5B2FE1D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criterion whose presence is necessary for the guideline recommendations to be applicable</w:t>
            </w:r>
          </w:p>
        </w:tc>
      </w:tr>
      <w:tr w:rsidR="0097059D" w:rsidRPr="00AC3DDC" w14:paraId="4B08E740" w14:textId="77777777" w:rsidTr="0097059D">
        <w:trPr>
          <w:cantSplit/>
          <w:jc w:val="center"/>
        </w:trPr>
        <w:tc>
          <w:tcPr>
            <w:tcW w:w="564" w:type="dxa"/>
            <w:tcBorders>
              <w:bottom w:val="single" w:sz="4" w:space="0" w:color="auto"/>
            </w:tcBorders>
            <w:shd w:val="clear" w:color="auto" w:fill="EEECE1"/>
            <w:vAlign w:val="center"/>
          </w:tcPr>
          <w:p w14:paraId="0CE4C6A0"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tcBorders>
              <w:bottom w:val="single" w:sz="4" w:space="0" w:color="auto"/>
            </w:tcBorders>
            <w:shd w:val="clear" w:color="auto" w:fill="EEECE1"/>
            <w:vAlign w:val="center"/>
          </w:tcPr>
          <w:p w14:paraId="3FA4AA5D"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Inclusion Criterion Code</w:t>
            </w:r>
          </w:p>
        </w:tc>
        <w:tc>
          <w:tcPr>
            <w:tcW w:w="5438" w:type="dxa"/>
            <w:tcBorders>
              <w:bottom w:val="single" w:sz="4" w:space="0" w:color="auto"/>
            </w:tcBorders>
            <w:shd w:val="clear" w:color="auto" w:fill="EEECE1"/>
            <w:vAlign w:val="center"/>
          </w:tcPr>
          <w:p w14:paraId="2B287B2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identifier selected from a standard terminology that describes an inclusion criterion</w:t>
            </w:r>
          </w:p>
        </w:tc>
      </w:tr>
      <w:tr w:rsidR="0097059D" w:rsidRPr="00AC3DDC" w14:paraId="674D38B6" w14:textId="77777777" w:rsidTr="0097059D">
        <w:trPr>
          <w:cantSplit/>
          <w:jc w:val="center"/>
        </w:trPr>
        <w:tc>
          <w:tcPr>
            <w:tcW w:w="564" w:type="dxa"/>
            <w:tcBorders>
              <w:bottom w:val="single" w:sz="4" w:space="0" w:color="auto"/>
            </w:tcBorders>
            <w:shd w:val="clear" w:color="auto" w:fill="EEECE1"/>
            <w:vAlign w:val="center"/>
          </w:tcPr>
          <w:p w14:paraId="2F9C4D8E"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tcBorders>
              <w:bottom w:val="single" w:sz="4" w:space="0" w:color="auto"/>
            </w:tcBorders>
            <w:shd w:val="clear" w:color="auto" w:fill="EEECE1"/>
            <w:vAlign w:val="center"/>
          </w:tcPr>
          <w:p w14:paraId="1A58091F"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Exclusion Criteria</w:t>
            </w:r>
          </w:p>
        </w:tc>
        <w:tc>
          <w:tcPr>
            <w:tcW w:w="5438" w:type="dxa"/>
            <w:tcBorders>
              <w:bottom w:val="single" w:sz="4" w:space="0" w:color="auto"/>
            </w:tcBorders>
            <w:shd w:val="clear" w:color="auto" w:fill="EEECE1"/>
            <w:vAlign w:val="center"/>
          </w:tcPr>
          <w:p w14:paraId="3E62972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criterion whose presence excludes the applicability of the recommendations</w:t>
            </w:r>
          </w:p>
        </w:tc>
      </w:tr>
      <w:tr w:rsidR="0097059D" w:rsidRPr="00AC3DDC" w14:paraId="5ACDC936" w14:textId="77777777" w:rsidTr="0097059D">
        <w:trPr>
          <w:cantSplit/>
          <w:jc w:val="center"/>
        </w:trPr>
        <w:tc>
          <w:tcPr>
            <w:tcW w:w="564" w:type="dxa"/>
            <w:tcBorders>
              <w:bottom w:val="single" w:sz="4" w:space="0" w:color="auto"/>
            </w:tcBorders>
            <w:shd w:val="clear" w:color="auto" w:fill="EEECE1"/>
            <w:vAlign w:val="center"/>
          </w:tcPr>
          <w:p w14:paraId="188588E5"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tcBorders>
              <w:bottom w:val="single" w:sz="4" w:space="0" w:color="auto"/>
            </w:tcBorders>
            <w:shd w:val="clear" w:color="auto" w:fill="EEECE1"/>
            <w:vAlign w:val="center"/>
          </w:tcPr>
          <w:p w14:paraId="55E16672"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Exclusion Criterion Code</w:t>
            </w:r>
          </w:p>
        </w:tc>
        <w:tc>
          <w:tcPr>
            <w:tcW w:w="5438" w:type="dxa"/>
            <w:tcBorders>
              <w:bottom w:val="single" w:sz="4" w:space="0" w:color="auto"/>
            </w:tcBorders>
            <w:shd w:val="clear" w:color="auto" w:fill="EEECE1"/>
            <w:vAlign w:val="center"/>
          </w:tcPr>
          <w:p w14:paraId="4324188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identifier selected from a standard terminology that describes an exclusion criterion</w:t>
            </w:r>
          </w:p>
        </w:tc>
      </w:tr>
      <w:tr w:rsidR="0097059D" w:rsidRPr="00AC3DDC" w14:paraId="3CD0FFAD" w14:textId="77777777" w:rsidTr="0097059D">
        <w:trPr>
          <w:cantSplit/>
          <w:trHeight w:val="432"/>
          <w:jc w:val="center"/>
        </w:trPr>
        <w:tc>
          <w:tcPr>
            <w:tcW w:w="9576" w:type="dxa"/>
            <w:gridSpan w:val="3"/>
            <w:tcBorders>
              <w:bottom w:val="single" w:sz="4" w:space="0" w:color="auto"/>
            </w:tcBorders>
            <w:shd w:val="clear" w:color="auto" w:fill="FFFF99"/>
            <w:vAlign w:val="center"/>
          </w:tcPr>
          <w:p w14:paraId="23ACF21D" w14:textId="77777777" w:rsidR="005A6323" w:rsidRPr="00AC3DDC" w:rsidRDefault="005A6323" w:rsidP="00E44DD0">
            <w:pPr>
              <w:spacing w:before="20" w:afterLines="20" w:after="48" w:line="240" w:lineRule="auto"/>
              <w:rPr>
                <w:rFonts w:cs="Calibri"/>
                <w:b/>
              </w:rPr>
            </w:pPr>
            <w:r w:rsidRPr="00AC3DDC">
              <w:rPr>
                <w:rFonts w:cs="Calibri"/>
                <w:b/>
              </w:rPr>
              <w:t>Knowledge Components</w:t>
            </w:r>
          </w:p>
        </w:tc>
      </w:tr>
      <w:tr w:rsidR="0097059D" w:rsidRPr="00AC3DDC" w14:paraId="3AD4E2C0" w14:textId="77777777" w:rsidTr="0097059D">
        <w:trPr>
          <w:cantSplit/>
          <w:jc w:val="center"/>
        </w:trPr>
        <w:tc>
          <w:tcPr>
            <w:tcW w:w="564" w:type="dxa"/>
            <w:shd w:val="clear" w:color="auto" w:fill="FFFFCC"/>
            <w:vAlign w:val="center"/>
          </w:tcPr>
          <w:p w14:paraId="38ED7214"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83E482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Statement of Fact</w:t>
            </w:r>
          </w:p>
        </w:tc>
        <w:tc>
          <w:tcPr>
            <w:tcW w:w="5438" w:type="dxa"/>
            <w:shd w:val="clear" w:color="auto" w:fill="FFFFCC"/>
            <w:vAlign w:val="center"/>
          </w:tcPr>
          <w:p w14:paraId="5861CBD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non-executable statement intended by the author to describe appropriate care. This category includes US Preventive Services Task Force “I Statements”, i.e., the authors conclude that there is insufficient evidence to support a recommendation for or against such an action</w:t>
            </w:r>
          </w:p>
        </w:tc>
      </w:tr>
      <w:tr w:rsidR="0097059D" w:rsidRPr="00AC3DDC" w14:paraId="27E2D03C" w14:textId="77777777" w:rsidTr="0097059D">
        <w:trPr>
          <w:cantSplit/>
          <w:jc w:val="center"/>
        </w:trPr>
        <w:tc>
          <w:tcPr>
            <w:tcW w:w="564" w:type="dxa"/>
            <w:tcBorders>
              <w:bottom w:val="single" w:sz="4" w:space="0" w:color="auto"/>
            </w:tcBorders>
            <w:shd w:val="clear" w:color="auto" w:fill="FFFFCC"/>
            <w:vAlign w:val="center"/>
          </w:tcPr>
          <w:p w14:paraId="140BA0B7"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1D21527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Recommendation</w:t>
            </w:r>
          </w:p>
        </w:tc>
        <w:tc>
          <w:tcPr>
            <w:tcW w:w="5438" w:type="dxa"/>
            <w:shd w:val="clear" w:color="auto" w:fill="FFFFCC"/>
            <w:vAlign w:val="center"/>
          </w:tcPr>
          <w:p w14:paraId="22656BB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Statement of appropriate practice and the conditions under which it is to be undertaken. The statement is intended to influence practitioners' behavior and/or patient outcomes. A number or brief title for a specific recommendation should be stored in this element.</w:t>
            </w:r>
          </w:p>
        </w:tc>
      </w:tr>
      <w:tr w:rsidR="0097059D" w:rsidRPr="00AC3DDC" w14:paraId="3F57BD53" w14:textId="77777777" w:rsidTr="0097059D">
        <w:trPr>
          <w:cantSplit/>
          <w:jc w:val="center"/>
        </w:trPr>
        <w:tc>
          <w:tcPr>
            <w:tcW w:w="564" w:type="dxa"/>
            <w:shd w:val="clear" w:color="auto" w:fill="FFFFCC"/>
            <w:vAlign w:val="center"/>
          </w:tcPr>
          <w:p w14:paraId="435B4578" w14:textId="77777777" w:rsidR="005A6323" w:rsidRPr="00AC3DDC" w:rsidRDefault="00803780" w:rsidP="0097059D">
            <w:pPr>
              <w:spacing w:before="40" w:after="40" w:line="240" w:lineRule="auto"/>
              <w:jc w:val="center"/>
              <w:rPr>
                <w:rFonts w:cs="Calibri"/>
                <w:b/>
                <w:sz w:val="32"/>
                <w:szCs w:val="32"/>
              </w:rPr>
            </w:pPr>
            <w:r w:rsidRPr="00AC3DDC">
              <w:rPr>
                <w:rFonts w:cs="Calibri"/>
                <w:b/>
                <w:sz w:val="24"/>
                <w:szCs w:val="24"/>
              </w:rPr>
              <w:sym w:font="Wingdings 2" w:char="F050"/>
            </w:r>
          </w:p>
        </w:tc>
        <w:tc>
          <w:tcPr>
            <w:tcW w:w="3574" w:type="dxa"/>
            <w:shd w:val="clear" w:color="auto" w:fill="FFFFCC"/>
            <w:vAlign w:val="center"/>
          </w:tcPr>
          <w:p w14:paraId="1F84E4DD"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Recommendation Notes</w:t>
            </w:r>
          </w:p>
        </w:tc>
        <w:tc>
          <w:tcPr>
            <w:tcW w:w="5438" w:type="dxa"/>
            <w:shd w:val="clear" w:color="auto" w:fill="FFFFCC"/>
            <w:vAlign w:val="center"/>
          </w:tcPr>
          <w:p w14:paraId="484CA4B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Additional comments related to the development of the recommendation</w:t>
            </w:r>
          </w:p>
        </w:tc>
      </w:tr>
      <w:tr w:rsidR="0097059D" w:rsidRPr="00AC3DDC" w14:paraId="4DFEF5D7" w14:textId="77777777" w:rsidTr="0097059D">
        <w:trPr>
          <w:cantSplit/>
          <w:jc w:val="center"/>
        </w:trPr>
        <w:tc>
          <w:tcPr>
            <w:tcW w:w="564" w:type="dxa"/>
            <w:shd w:val="clear" w:color="auto" w:fill="FFFFCC"/>
            <w:vAlign w:val="center"/>
          </w:tcPr>
          <w:p w14:paraId="2406DF83"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lastRenderedPageBreak/>
              <w:sym w:font="Wingdings 2" w:char="F050"/>
            </w:r>
          </w:p>
        </w:tc>
        <w:tc>
          <w:tcPr>
            <w:tcW w:w="3574" w:type="dxa"/>
            <w:shd w:val="clear" w:color="auto" w:fill="FFFFCC"/>
            <w:vAlign w:val="center"/>
          </w:tcPr>
          <w:p w14:paraId="36B96D92"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Conditional</w:t>
            </w:r>
          </w:p>
        </w:tc>
        <w:tc>
          <w:tcPr>
            <w:tcW w:w="5438" w:type="dxa"/>
            <w:shd w:val="clear" w:color="auto" w:fill="FFFFCC"/>
            <w:vAlign w:val="center"/>
          </w:tcPr>
          <w:p w14:paraId="02AD50B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recommendation applicable under circumstances specified by an if-then statement. The complete text of the conditional statement should be stored in this element</w:t>
            </w:r>
          </w:p>
        </w:tc>
      </w:tr>
      <w:tr w:rsidR="0097059D" w:rsidRPr="00AC3DDC" w14:paraId="2303DAAC" w14:textId="77777777" w:rsidTr="0097059D">
        <w:trPr>
          <w:cantSplit/>
          <w:jc w:val="center"/>
        </w:trPr>
        <w:tc>
          <w:tcPr>
            <w:tcW w:w="564" w:type="dxa"/>
            <w:shd w:val="clear" w:color="auto" w:fill="FFFFCC"/>
            <w:vAlign w:val="center"/>
          </w:tcPr>
          <w:p w14:paraId="492A2621"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FFFFCC"/>
            <w:vAlign w:val="center"/>
          </w:tcPr>
          <w:p w14:paraId="7105957B"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Benefit Harm Assessment</w:t>
            </w:r>
          </w:p>
        </w:tc>
        <w:tc>
          <w:tcPr>
            <w:tcW w:w="5438" w:type="dxa"/>
            <w:shd w:val="clear" w:color="auto" w:fill="FFFFCC"/>
            <w:vAlign w:val="center"/>
          </w:tcPr>
          <w:p w14:paraId="7E44732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process (including values applied) and the outcome of weighing benefits against risks, harms, and costs that expresses equilibrium or net benefit or harm.</w:t>
            </w:r>
          </w:p>
        </w:tc>
      </w:tr>
      <w:tr w:rsidR="0097059D" w:rsidRPr="00AC3DDC" w14:paraId="3E181532" w14:textId="77777777" w:rsidTr="0097059D">
        <w:trPr>
          <w:cantSplit/>
          <w:jc w:val="center"/>
        </w:trPr>
        <w:tc>
          <w:tcPr>
            <w:tcW w:w="564" w:type="dxa"/>
            <w:shd w:val="clear" w:color="auto" w:fill="FFFFCC"/>
            <w:vAlign w:val="center"/>
          </w:tcPr>
          <w:p w14:paraId="65E8B10E"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2ADD453F"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Decision Variable</w:t>
            </w:r>
          </w:p>
        </w:tc>
        <w:tc>
          <w:tcPr>
            <w:tcW w:w="5438" w:type="dxa"/>
            <w:shd w:val="clear" w:color="auto" w:fill="FFFFCC"/>
            <w:vAlign w:val="center"/>
          </w:tcPr>
          <w:p w14:paraId="05B64F9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condition that must be tested to indicate the appropriateness of a conditional recommendation. Store only a single variable in each decision variable element</w:t>
            </w:r>
          </w:p>
        </w:tc>
      </w:tr>
      <w:tr w:rsidR="0097059D" w:rsidRPr="00AC3DDC" w14:paraId="5441215B" w14:textId="77777777" w:rsidTr="0097059D">
        <w:trPr>
          <w:cantSplit/>
          <w:jc w:val="center"/>
        </w:trPr>
        <w:tc>
          <w:tcPr>
            <w:tcW w:w="564" w:type="dxa"/>
            <w:shd w:val="clear" w:color="auto" w:fill="FFFFCC"/>
            <w:vAlign w:val="center"/>
          </w:tcPr>
          <w:p w14:paraId="3CF1E1A0"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26699563"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Decision Variable Code</w:t>
            </w:r>
          </w:p>
        </w:tc>
        <w:tc>
          <w:tcPr>
            <w:tcW w:w="5438" w:type="dxa"/>
            <w:shd w:val="clear" w:color="auto" w:fill="FFFFCC"/>
            <w:vAlign w:val="center"/>
          </w:tcPr>
          <w:p w14:paraId="3B94BDC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 xml:space="preserve">Identifier selected from a standard terminology that describes a decision variable </w:t>
            </w:r>
          </w:p>
        </w:tc>
      </w:tr>
      <w:tr w:rsidR="0097059D" w:rsidRPr="00AC3DDC" w14:paraId="3406297B" w14:textId="77777777" w:rsidTr="0097059D">
        <w:trPr>
          <w:cantSplit/>
          <w:jc w:val="center"/>
        </w:trPr>
        <w:tc>
          <w:tcPr>
            <w:tcW w:w="564" w:type="dxa"/>
            <w:shd w:val="clear" w:color="auto" w:fill="FFFFCC"/>
            <w:vAlign w:val="center"/>
          </w:tcPr>
          <w:p w14:paraId="61A9846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3F48AC1F"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Value</w:t>
            </w:r>
          </w:p>
        </w:tc>
        <w:tc>
          <w:tcPr>
            <w:tcW w:w="5438" w:type="dxa"/>
            <w:shd w:val="clear" w:color="auto" w:fill="FFFFCC"/>
            <w:vAlign w:val="center"/>
          </w:tcPr>
          <w:p w14:paraId="61FFF92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specified state of a decision variable</w:t>
            </w:r>
          </w:p>
        </w:tc>
      </w:tr>
      <w:tr w:rsidR="0097059D" w:rsidRPr="00AC3DDC" w14:paraId="7F0D783F" w14:textId="77777777" w:rsidTr="0097059D">
        <w:trPr>
          <w:cantSplit/>
          <w:jc w:val="center"/>
        </w:trPr>
        <w:tc>
          <w:tcPr>
            <w:tcW w:w="564" w:type="dxa"/>
            <w:shd w:val="clear" w:color="auto" w:fill="FFFFCC"/>
            <w:vAlign w:val="center"/>
          </w:tcPr>
          <w:p w14:paraId="6B722521"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15074DD7"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Decision Variable Description</w:t>
            </w:r>
          </w:p>
        </w:tc>
        <w:tc>
          <w:tcPr>
            <w:tcW w:w="5438" w:type="dxa"/>
            <w:shd w:val="clear" w:color="auto" w:fill="FFFFCC"/>
            <w:vAlign w:val="center"/>
          </w:tcPr>
          <w:p w14:paraId="5441E57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Text that provides and amplifies information about a decision variable</w:t>
            </w:r>
          </w:p>
        </w:tc>
      </w:tr>
      <w:tr w:rsidR="0097059D" w:rsidRPr="00AC3DDC" w14:paraId="47918BB7" w14:textId="77777777" w:rsidTr="0097059D">
        <w:trPr>
          <w:cantSplit/>
          <w:jc w:val="center"/>
        </w:trPr>
        <w:tc>
          <w:tcPr>
            <w:tcW w:w="564" w:type="dxa"/>
            <w:shd w:val="clear" w:color="auto" w:fill="FFFFCC"/>
            <w:vAlign w:val="center"/>
          </w:tcPr>
          <w:p w14:paraId="42CAFD8D"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006DDD06"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Test Parameter</w:t>
            </w:r>
          </w:p>
        </w:tc>
        <w:tc>
          <w:tcPr>
            <w:tcW w:w="5438" w:type="dxa"/>
            <w:shd w:val="clear" w:color="auto" w:fill="FFFFCC"/>
            <w:vAlign w:val="center"/>
          </w:tcPr>
          <w:p w14:paraId="11C4D7A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Information about the quality of a decision variable</w:t>
            </w:r>
          </w:p>
        </w:tc>
      </w:tr>
      <w:tr w:rsidR="0097059D" w:rsidRPr="00AC3DDC" w14:paraId="0DABA179" w14:textId="77777777" w:rsidTr="0097059D">
        <w:trPr>
          <w:cantSplit/>
          <w:jc w:val="center"/>
        </w:trPr>
        <w:tc>
          <w:tcPr>
            <w:tcW w:w="564" w:type="dxa"/>
            <w:shd w:val="clear" w:color="auto" w:fill="FFFFCC"/>
            <w:vAlign w:val="center"/>
          </w:tcPr>
          <w:p w14:paraId="35A9C85B"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D78172F" w14:textId="77777777" w:rsidR="005A6323" w:rsidRPr="00AC3DDC" w:rsidRDefault="005A6323" w:rsidP="005A6323">
            <w:pPr>
              <w:numPr>
                <w:ilvl w:val="0"/>
                <w:numId w:val="3"/>
              </w:numPr>
              <w:spacing w:before="20" w:afterLines="20" w:after="48" w:line="240" w:lineRule="auto"/>
              <w:rPr>
                <w:rFonts w:cs="Calibri"/>
                <w:sz w:val="20"/>
                <w:szCs w:val="20"/>
              </w:rPr>
            </w:pPr>
            <w:r w:rsidRPr="00AC3DDC">
              <w:rPr>
                <w:rFonts w:cs="Calibri"/>
                <w:sz w:val="20"/>
                <w:szCs w:val="20"/>
              </w:rPr>
              <w:t>Sensitivity</w:t>
            </w:r>
          </w:p>
        </w:tc>
        <w:tc>
          <w:tcPr>
            <w:tcW w:w="5438" w:type="dxa"/>
            <w:shd w:val="clear" w:color="auto" w:fill="FFFFCC"/>
            <w:vAlign w:val="center"/>
          </w:tcPr>
          <w:p w14:paraId="131E54E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probability of the decision variable being present under specific clinical circumstances</w:t>
            </w:r>
          </w:p>
        </w:tc>
      </w:tr>
      <w:tr w:rsidR="0097059D" w:rsidRPr="00AC3DDC" w14:paraId="52322671" w14:textId="77777777" w:rsidTr="0097059D">
        <w:trPr>
          <w:cantSplit/>
          <w:jc w:val="center"/>
        </w:trPr>
        <w:tc>
          <w:tcPr>
            <w:tcW w:w="564" w:type="dxa"/>
            <w:shd w:val="clear" w:color="auto" w:fill="FFFFCC"/>
            <w:vAlign w:val="center"/>
          </w:tcPr>
          <w:p w14:paraId="0C5E4EFD"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190903F3" w14:textId="77777777" w:rsidR="005A6323" w:rsidRPr="00AC3DDC" w:rsidRDefault="005A6323" w:rsidP="005A6323">
            <w:pPr>
              <w:numPr>
                <w:ilvl w:val="0"/>
                <w:numId w:val="3"/>
              </w:numPr>
              <w:spacing w:before="20" w:afterLines="20" w:after="48" w:line="240" w:lineRule="auto"/>
              <w:rPr>
                <w:rFonts w:cs="Calibri"/>
                <w:sz w:val="20"/>
                <w:szCs w:val="20"/>
              </w:rPr>
            </w:pPr>
            <w:r w:rsidRPr="00AC3DDC">
              <w:rPr>
                <w:rFonts w:cs="Calibri"/>
                <w:sz w:val="20"/>
                <w:szCs w:val="20"/>
              </w:rPr>
              <w:t>Specificity</w:t>
            </w:r>
          </w:p>
        </w:tc>
        <w:tc>
          <w:tcPr>
            <w:tcW w:w="5438" w:type="dxa"/>
            <w:shd w:val="clear" w:color="auto" w:fill="FFFFCC"/>
            <w:vAlign w:val="center"/>
          </w:tcPr>
          <w:p w14:paraId="09E9320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probability of the decision variable being absent under specific clinical circumstances</w:t>
            </w:r>
          </w:p>
        </w:tc>
      </w:tr>
      <w:tr w:rsidR="0097059D" w:rsidRPr="00AC3DDC" w14:paraId="7ACC1F0C" w14:textId="77777777" w:rsidTr="0097059D">
        <w:trPr>
          <w:cantSplit/>
          <w:jc w:val="center"/>
        </w:trPr>
        <w:tc>
          <w:tcPr>
            <w:tcW w:w="564" w:type="dxa"/>
            <w:shd w:val="clear" w:color="auto" w:fill="FFFFCC"/>
            <w:vAlign w:val="center"/>
          </w:tcPr>
          <w:p w14:paraId="68F99158"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949C412" w14:textId="77777777" w:rsidR="005A6323" w:rsidRPr="00AC3DDC" w:rsidRDefault="005A6323" w:rsidP="005A6323">
            <w:pPr>
              <w:numPr>
                <w:ilvl w:val="0"/>
                <w:numId w:val="3"/>
              </w:numPr>
              <w:spacing w:before="20" w:afterLines="20" w:after="48" w:line="240" w:lineRule="auto"/>
              <w:rPr>
                <w:rFonts w:cs="Calibri"/>
                <w:sz w:val="20"/>
                <w:szCs w:val="20"/>
              </w:rPr>
            </w:pPr>
            <w:r w:rsidRPr="00AC3DDC">
              <w:rPr>
                <w:rFonts w:cs="Calibri"/>
                <w:sz w:val="20"/>
                <w:szCs w:val="20"/>
              </w:rPr>
              <w:t>Predictive Value</w:t>
            </w:r>
          </w:p>
        </w:tc>
        <w:tc>
          <w:tcPr>
            <w:tcW w:w="5438" w:type="dxa"/>
            <w:shd w:val="clear" w:color="auto" w:fill="FFFFCC"/>
            <w:vAlign w:val="center"/>
          </w:tcPr>
          <w:p w14:paraId="2DF3BDF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probability of an outcome occurring when a particular value of the decision variable is present</w:t>
            </w:r>
          </w:p>
        </w:tc>
      </w:tr>
      <w:tr w:rsidR="0097059D" w:rsidRPr="00AC3DDC" w14:paraId="2DB857B1" w14:textId="77777777" w:rsidTr="0097059D">
        <w:trPr>
          <w:cantSplit/>
          <w:jc w:val="center"/>
        </w:trPr>
        <w:tc>
          <w:tcPr>
            <w:tcW w:w="564" w:type="dxa"/>
            <w:shd w:val="clear" w:color="auto" w:fill="FFFFCC"/>
            <w:vAlign w:val="center"/>
          </w:tcPr>
          <w:p w14:paraId="03CFF989"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5CA4BF14"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Decision Variable Cost</w:t>
            </w:r>
          </w:p>
        </w:tc>
        <w:tc>
          <w:tcPr>
            <w:tcW w:w="5438" w:type="dxa"/>
            <w:shd w:val="clear" w:color="auto" w:fill="FFFFCC"/>
            <w:vAlign w:val="center"/>
          </w:tcPr>
          <w:p w14:paraId="374358F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cost of testing a decision variable</w:t>
            </w:r>
          </w:p>
        </w:tc>
      </w:tr>
      <w:tr w:rsidR="0097059D" w:rsidRPr="00AC3DDC" w14:paraId="7DE30CFA" w14:textId="77777777" w:rsidTr="0097059D">
        <w:trPr>
          <w:cantSplit/>
          <w:jc w:val="center"/>
        </w:trPr>
        <w:tc>
          <w:tcPr>
            <w:tcW w:w="564" w:type="dxa"/>
            <w:shd w:val="clear" w:color="auto" w:fill="FFFFCC"/>
            <w:vAlign w:val="center"/>
          </w:tcPr>
          <w:p w14:paraId="1408ECFB"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35781E32"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Action</w:t>
            </w:r>
          </w:p>
        </w:tc>
        <w:tc>
          <w:tcPr>
            <w:tcW w:w="5438" w:type="dxa"/>
            <w:shd w:val="clear" w:color="auto" w:fill="FFFFCC"/>
            <w:vAlign w:val="center"/>
          </w:tcPr>
          <w:p w14:paraId="5C2B22CD"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Appropriate activity to be carried out given the specific circumstances defined by values of decision variables. Store only a single action in each Action element</w:t>
            </w:r>
          </w:p>
        </w:tc>
      </w:tr>
      <w:tr w:rsidR="0097059D" w:rsidRPr="00AC3DDC" w14:paraId="0C270CAD" w14:textId="77777777" w:rsidTr="0097059D">
        <w:trPr>
          <w:cantSplit/>
          <w:jc w:val="center"/>
        </w:trPr>
        <w:tc>
          <w:tcPr>
            <w:tcW w:w="564" w:type="dxa"/>
            <w:shd w:val="clear" w:color="auto" w:fill="FFFFCC"/>
            <w:vAlign w:val="center"/>
          </w:tcPr>
          <w:p w14:paraId="0A75D25A"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6513802A"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Benefit</w:t>
            </w:r>
          </w:p>
        </w:tc>
        <w:tc>
          <w:tcPr>
            <w:tcW w:w="5438" w:type="dxa"/>
            <w:shd w:val="clear" w:color="auto" w:fill="FFFFCC"/>
            <w:vAlign w:val="center"/>
          </w:tcPr>
          <w:p w14:paraId="3828B15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improvement in status of some measured outcome that may occur as a result of following a recommendation</w:t>
            </w:r>
          </w:p>
        </w:tc>
      </w:tr>
      <w:tr w:rsidR="0097059D" w:rsidRPr="00AC3DDC" w14:paraId="5D55C2E6" w14:textId="77777777" w:rsidTr="0097059D">
        <w:trPr>
          <w:cantSplit/>
          <w:jc w:val="center"/>
        </w:trPr>
        <w:tc>
          <w:tcPr>
            <w:tcW w:w="564" w:type="dxa"/>
            <w:shd w:val="clear" w:color="auto" w:fill="FFFFCC"/>
            <w:vAlign w:val="center"/>
          </w:tcPr>
          <w:p w14:paraId="511E0EAE"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9260E25"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Risk Harm</w:t>
            </w:r>
          </w:p>
        </w:tc>
        <w:tc>
          <w:tcPr>
            <w:tcW w:w="5438" w:type="dxa"/>
            <w:shd w:val="clear" w:color="auto" w:fill="FFFFCC"/>
            <w:vAlign w:val="center"/>
          </w:tcPr>
          <w:p w14:paraId="13F9484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Risk or adverse outcome associated with a specified action</w:t>
            </w:r>
          </w:p>
        </w:tc>
      </w:tr>
      <w:tr w:rsidR="0097059D" w:rsidRPr="00AC3DDC" w14:paraId="0CC3FB61" w14:textId="77777777" w:rsidTr="0097059D">
        <w:trPr>
          <w:cantSplit/>
          <w:jc w:val="center"/>
        </w:trPr>
        <w:tc>
          <w:tcPr>
            <w:tcW w:w="564" w:type="dxa"/>
            <w:shd w:val="clear" w:color="auto" w:fill="FFFFCC"/>
            <w:vAlign w:val="center"/>
          </w:tcPr>
          <w:p w14:paraId="3E22D0DD"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58B389EC"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Actor</w:t>
            </w:r>
          </w:p>
        </w:tc>
        <w:tc>
          <w:tcPr>
            <w:tcW w:w="5438" w:type="dxa"/>
            <w:shd w:val="clear" w:color="auto" w:fill="FFFFCC"/>
            <w:vAlign w:val="center"/>
          </w:tcPr>
          <w:p w14:paraId="7ABF0231"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person(s) or role intended to carry out the recommended activity</w:t>
            </w:r>
          </w:p>
        </w:tc>
      </w:tr>
      <w:tr w:rsidR="0097059D" w:rsidRPr="00AC3DDC" w14:paraId="79D3A75A" w14:textId="77777777" w:rsidTr="0097059D">
        <w:trPr>
          <w:cantSplit/>
          <w:jc w:val="center"/>
        </w:trPr>
        <w:tc>
          <w:tcPr>
            <w:tcW w:w="564" w:type="dxa"/>
            <w:shd w:val="clear" w:color="auto" w:fill="FFFFCC"/>
            <w:vAlign w:val="center"/>
          </w:tcPr>
          <w:p w14:paraId="558F692A"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79C2618C"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Verb</w:t>
            </w:r>
          </w:p>
        </w:tc>
        <w:tc>
          <w:tcPr>
            <w:tcW w:w="5438" w:type="dxa"/>
            <w:shd w:val="clear" w:color="auto" w:fill="FFFFCC"/>
            <w:vAlign w:val="center"/>
          </w:tcPr>
          <w:p w14:paraId="31252A47"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word or phrase in a recommendation that expresses action, state, or relationship</w:t>
            </w:r>
          </w:p>
        </w:tc>
      </w:tr>
      <w:tr w:rsidR="0097059D" w:rsidRPr="00AC3DDC" w14:paraId="368A302F" w14:textId="77777777" w:rsidTr="0097059D">
        <w:trPr>
          <w:cantSplit/>
          <w:jc w:val="center"/>
        </w:trPr>
        <w:tc>
          <w:tcPr>
            <w:tcW w:w="564" w:type="dxa"/>
            <w:shd w:val="clear" w:color="auto" w:fill="FFFFCC"/>
            <w:vAlign w:val="center"/>
          </w:tcPr>
          <w:p w14:paraId="47C8256D"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645098A4"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Deontic Term</w:t>
            </w:r>
          </w:p>
        </w:tc>
        <w:tc>
          <w:tcPr>
            <w:tcW w:w="5438" w:type="dxa"/>
            <w:shd w:val="clear" w:color="auto" w:fill="FFFFCC"/>
            <w:vAlign w:val="center"/>
          </w:tcPr>
          <w:p w14:paraId="02FCC7D0"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word or phrase that defines the level of obligation of an active or directive</w:t>
            </w:r>
          </w:p>
        </w:tc>
      </w:tr>
      <w:tr w:rsidR="0097059D" w:rsidRPr="00AC3DDC" w14:paraId="52465F4B" w14:textId="77777777" w:rsidTr="0097059D">
        <w:trPr>
          <w:cantSplit/>
          <w:jc w:val="center"/>
        </w:trPr>
        <w:tc>
          <w:tcPr>
            <w:tcW w:w="564" w:type="dxa"/>
            <w:shd w:val="clear" w:color="auto" w:fill="FFFFCC"/>
            <w:vAlign w:val="center"/>
          </w:tcPr>
          <w:p w14:paraId="6E6748B3"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0B5CF2C4"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Verb Complement</w:t>
            </w:r>
          </w:p>
        </w:tc>
        <w:tc>
          <w:tcPr>
            <w:tcW w:w="5438" w:type="dxa"/>
            <w:shd w:val="clear" w:color="auto" w:fill="FFFFCC"/>
            <w:vAlign w:val="center"/>
          </w:tcPr>
          <w:p w14:paraId="07DA06DF"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Word or phrase that completes the sense of a verb and includes direct and indirect objects</w:t>
            </w:r>
          </w:p>
        </w:tc>
      </w:tr>
      <w:tr w:rsidR="0097059D" w:rsidRPr="00AC3DDC" w14:paraId="1A523572" w14:textId="77777777" w:rsidTr="0097059D">
        <w:trPr>
          <w:cantSplit/>
          <w:jc w:val="center"/>
        </w:trPr>
        <w:tc>
          <w:tcPr>
            <w:tcW w:w="564" w:type="dxa"/>
            <w:shd w:val="clear" w:color="auto" w:fill="FFFFCC"/>
            <w:vAlign w:val="center"/>
          </w:tcPr>
          <w:p w14:paraId="70C2A89E"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76CBB692"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Code</w:t>
            </w:r>
          </w:p>
        </w:tc>
        <w:tc>
          <w:tcPr>
            <w:tcW w:w="5438" w:type="dxa"/>
            <w:shd w:val="clear" w:color="auto" w:fill="FFFFCC"/>
            <w:vAlign w:val="center"/>
          </w:tcPr>
          <w:p w14:paraId="002804F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Identifier selected from a standard terminology that describes an action or directive</w:t>
            </w:r>
          </w:p>
        </w:tc>
      </w:tr>
      <w:tr w:rsidR="0097059D" w:rsidRPr="00AC3DDC" w14:paraId="3A34062A" w14:textId="77777777" w:rsidTr="0097059D">
        <w:trPr>
          <w:cantSplit/>
          <w:jc w:val="center"/>
        </w:trPr>
        <w:tc>
          <w:tcPr>
            <w:tcW w:w="564" w:type="dxa"/>
            <w:shd w:val="clear" w:color="auto" w:fill="FFFFCC"/>
            <w:vAlign w:val="center"/>
          </w:tcPr>
          <w:p w14:paraId="5ED90A1D"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4765EF7B"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Description</w:t>
            </w:r>
          </w:p>
        </w:tc>
        <w:tc>
          <w:tcPr>
            <w:tcW w:w="5438" w:type="dxa"/>
            <w:shd w:val="clear" w:color="auto" w:fill="FFFFCC"/>
            <w:vAlign w:val="center"/>
          </w:tcPr>
          <w:p w14:paraId="2CA111C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Text that provides and amplifies information about an action</w:t>
            </w:r>
          </w:p>
        </w:tc>
      </w:tr>
      <w:tr w:rsidR="0097059D" w:rsidRPr="00AC3DDC" w14:paraId="75E49DF6" w14:textId="77777777" w:rsidTr="0097059D">
        <w:trPr>
          <w:cantSplit/>
          <w:jc w:val="center"/>
        </w:trPr>
        <w:tc>
          <w:tcPr>
            <w:tcW w:w="564" w:type="dxa"/>
            <w:shd w:val="clear" w:color="auto" w:fill="FFFFCC"/>
            <w:vAlign w:val="center"/>
          </w:tcPr>
          <w:p w14:paraId="78DD514C"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5D84BADB" w14:textId="77777777" w:rsidR="005A6323" w:rsidRPr="00AC3DDC" w:rsidRDefault="005A6323" w:rsidP="005A6323">
            <w:pPr>
              <w:numPr>
                <w:ilvl w:val="0"/>
                <w:numId w:val="3"/>
              </w:numPr>
              <w:spacing w:before="20" w:afterLines="20" w:after="48" w:line="240" w:lineRule="auto"/>
              <w:rPr>
                <w:rFonts w:cs="Calibri"/>
                <w:sz w:val="20"/>
                <w:szCs w:val="20"/>
              </w:rPr>
            </w:pPr>
            <w:r w:rsidRPr="00AC3DDC">
              <w:rPr>
                <w:rFonts w:cs="Calibri"/>
                <w:sz w:val="20"/>
                <w:szCs w:val="20"/>
              </w:rPr>
              <w:t>Intentional Vagueness</w:t>
            </w:r>
          </w:p>
        </w:tc>
        <w:tc>
          <w:tcPr>
            <w:tcW w:w="5438" w:type="dxa"/>
            <w:shd w:val="clear" w:color="auto" w:fill="FFFFCC"/>
            <w:vAlign w:val="center"/>
          </w:tcPr>
          <w:p w14:paraId="4801534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reason for deliberate underspecification of a recommendation’s conditions or actions</w:t>
            </w:r>
          </w:p>
        </w:tc>
      </w:tr>
      <w:tr w:rsidR="0097059D" w:rsidRPr="00AC3DDC" w14:paraId="13D76F02" w14:textId="77777777" w:rsidTr="0097059D">
        <w:trPr>
          <w:cantSplit/>
          <w:jc w:val="center"/>
        </w:trPr>
        <w:tc>
          <w:tcPr>
            <w:tcW w:w="564" w:type="dxa"/>
            <w:shd w:val="clear" w:color="auto" w:fill="FFFFCC"/>
            <w:vAlign w:val="center"/>
          </w:tcPr>
          <w:p w14:paraId="5E8CD808"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5C4899E0"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Cost</w:t>
            </w:r>
          </w:p>
        </w:tc>
        <w:tc>
          <w:tcPr>
            <w:tcW w:w="5438" w:type="dxa"/>
            <w:shd w:val="clear" w:color="auto" w:fill="FFFFCC"/>
            <w:vAlign w:val="center"/>
          </w:tcPr>
          <w:p w14:paraId="6844009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Cost of performing a specific action</w:t>
            </w:r>
          </w:p>
        </w:tc>
      </w:tr>
      <w:tr w:rsidR="0097059D" w:rsidRPr="00AC3DDC" w14:paraId="5AD9DA74" w14:textId="77777777" w:rsidTr="0097059D">
        <w:trPr>
          <w:cantSplit/>
          <w:jc w:val="center"/>
        </w:trPr>
        <w:tc>
          <w:tcPr>
            <w:tcW w:w="564" w:type="dxa"/>
            <w:shd w:val="clear" w:color="auto" w:fill="FFFFCC"/>
            <w:vAlign w:val="center"/>
          </w:tcPr>
          <w:p w14:paraId="4ACA648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517EC5B0"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Value</w:t>
            </w:r>
          </w:p>
        </w:tc>
        <w:tc>
          <w:tcPr>
            <w:tcW w:w="5438" w:type="dxa"/>
            <w:shd w:val="clear" w:color="auto" w:fill="FFFFCC"/>
            <w:vAlign w:val="center"/>
          </w:tcPr>
          <w:p w14:paraId="0772D17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specified state of an action</w:t>
            </w:r>
          </w:p>
        </w:tc>
      </w:tr>
      <w:tr w:rsidR="0097059D" w:rsidRPr="00AC3DDC" w14:paraId="155DF5C8" w14:textId="77777777" w:rsidTr="0097059D">
        <w:trPr>
          <w:cantSplit/>
          <w:jc w:val="center"/>
        </w:trPr>
        <w:tc>
          <w:tcPr>
            <w:tcW w:w="564" w:type="dxa"/>
            <w:shd w:val="clear" w:color="auto" w:fill="FFFFCC"/>
            <w:vAlign w:val="center"/>
          </w:tcPr>
          <w:p w14:paraId="729E7E6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5638B88"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Action Type</w:t>
            </w:r>
          </w:p>
        </w:tc>
        <w:tc>
          <w:tcPr>
            <w:tcW w:w="5438" w:type="dxa"/>
            <w:shd w:val="clear" w:color="auto" w:fill="FFFFCC"/>
            <w:vAlign w:val="center"/>
          </w:tcPr>
          <w:p w14:paraId="16ECCC1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categorization of activity directed by a conditional</w:t>
            </w:r>
          </w:p>
        </w:tc>
      </w:tr>
      <w:tr w:rsidR="0097059D" w:rsidRPr="00AC3DDC" w14:paraId="542ED910" w14:textId="77777777" w:rsidTr="0097059D">
        <w:trPr>
          <w:cantSplit/>
          <w:jc w:val="center"/>
        </w:trPr>
        <w:tc>
          <w:tcPr>
            <w:tcW w:w="564" w:type="dxa"/>
            <w:shd w:val="clear" w:color="auto" w:fill="FFFFCC"/>
            <w:vAlign w:val="center"/>
          </w:tcPr>
          <w:p w14:paraId="50AABD51"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lastRenderedPageBreak/>
              <w:sym w:font="Wingdings 2" w:char="F050"/>
            </w:r>
          </w:p>
        </w:tc>
        <w:tc>
          <w:tcPr>
            <w:tcW w:w="3574" w:type="dxa"/>
            <w:shd w:val="clear" w:color="auto" w:fill="FFFFCC"/>
            <w:vAlign w:val="center"/>
          </w:tcPr>
          <w:p w14:paraId="412DA717"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Reason</w:t>
            </w:r>
          </w:p>
        </w:tc>
        <w:tc>
          <w:tcPr>
            <w:tcW w:w="5438" w:type="dxa"/>
            <w:shd w:val="clear" w:color="auto" w:fill="FFFFCC"/>
            <w:vAlign w:val="center"/>
          </w:tcPr>
          <w:p w14:paraId="0F6FEEF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explanation or justification for a recommendation</w:t>
            </w:r>
          </w:p>
        </w:tc>
      </w:tr>
      <w:tr w:rsidR="0097059D" w:rsidRPr="00AC3DDC" w14:paraId="7B97C695" w14:textId="77777777" w:rsidTr="0097059D">
        <w:trPr>
          <w:cantSplit/>
          <w:jc w:val="center"/>
        </w:trPr>
        <w:tc>
          <w:tcPr>
            <w:tcW w:w="564" w:type="dxa"/>
            <w:shd w:val="clear" w:color="auto" w:fill="FFFFCC"/>
            <w:vAlign w:val="center"/>
          </w:tcPr>
          <w:p w14:paraId="244A0D29"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47E7A946"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Evidence Quality</w:t>
            </w:r>
          </w:p>
        </w:tc>
        <w:tc>
          <w:tcPr>
            <w:tcW w:w="5438" w:type="dxa"/>
            <w:shd w:val="clear" w:color="auto" w:fill="FFFFCC"/>
            <w:vAlign w:val="center"/>
          </w:tcPr>
          <w:p w14:paraId="1D55B1E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methodologic rigor of the studies that support the specified recommendation</w:t>
            </w:r>
          </w:p>
        </w:tc>
      </w:tr>
      <w:tr w:rsidR="0097059D" w:rsidRPr="00AC3DDC" w14:paraId="5F0A45AF" w14:textId="77777777" w:rsidTr="0097059D">
        <w:trPr>
          <w:cantSplit/>
          <w:jc w:val="center"/>
        </w:trPr>
        <w:tc>
          <w:tcPr>
            <w:tcW w:w="564" w:type="dxa"/>
            <w:shd w:val="clear" w:color="auto" w:fill="FFFFCC"/>
            <w:vAlign w:val="center"/>
          </w:tcPr>
          <w:p w14:paraId="08AA3B24"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05AB950B"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Evidence Quality Description</w:t>
            </w:r>
          </w:p>
        </w:tc>
        <w:tc>
          <w:tcPr>
            <w:tcW w:w="5438" w:type="dxa"/>
            <w:shd w:val="clear" w:color="auto" w:fill="FFFFCC"/>
            <w:vAlign w:val="center"/>
          </w:tcPr>
          <w:p w14:paraId="22818CFB"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Description of the applicability, quantity (including completeness) and consistency of the aggregate available evidence. It may include an explanation of the part played by values, opinion, theory, and clinical experience in deriving the recommendation</w:t>
            </w:r>
          </w:p>
        </w:tc>
      </w:tr>
      <w:tr w:rsidR="0097059D" w:rsidRPr="00AC3DDC" w14:paraId="3713C111" w14:textId="77777777" w:rsidTr="0097059D">
        <w:trPr>
          <w:cantSplit/>
          <w:jc w:val="center"/>
        </w:trPr>
        <w:tc>
          <w:tcPr>
            <w:tcW w:w="564" w:type="dxa"/>
            <w:shd w:val="clear" w:color="auto" w:fill="FFFFCC"/>
            <w:vAlign w:val="center"/>
          </w:tcPr>
          <w:p w14:paraId="282035E0"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76BF8A0B"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Disagreement</w:t>
            </w:r>
          </w:p>
        </w:tc>
        <w:tc>
          <w:tcPr>
            <w:tcW w:w="5438" w:type="dxa"/>
            <w:shd w:val="clear" w:color="auto" w:fill="FFFFCC"/>
            <w:vAlign w:val="center"/>
          </w:tcPr>
          <w:p w14:paraId="2D1FC6A0"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Description and explanation of any differences of opinion regarding the recommendation, including minority report</w:t>
            </w:r>
          </w:p>
        </w:tc>
      </w:tr>
      <w:tr w:rsidR="0097059D" w:rsidRPr="00AC3DDC" w14:paraId="1D55F1ED" w14:textId="77777777" w:rsidTr="0097059D">
        <w:trPr>
          <w:cantSplit/>
          <w:jc w:val="center"/>
        </w:trPr>
        <w:tc>
          <w:tcPr>
            <w:tcW w:w="564" w:type="dxa"/>
            <w:shd w:val="clear" w:color="auto" w:fill="FFFFCC"/>
            <w:vAlign w:val="center"/>
          </w:tcPr>
          <w:p w14:paraId="0BE273F5"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9873C20"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Recommendation Strength</w:t>
            </w:r>
          </w:p>
        </w:tc>
        <w:tc>
          <w:tcPr>
            <w:tcW w:w="5438" w:type="dxa"/>
            <w:shd w:val="clear" w:color="auto" w:fill="FFFFCC"/>
            <w:vAlign w:val="center"/>
          </w:tcPr>
          <w:p w14:paraId="241A3AF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guideline developers' level of support for a given recommendation</w:t>
            </w:r>
          </w:p>
        </w:tc>
      </w:tr>
      <w:tr w:rsidR="0097059D" w:rsidRPr="00AC3DDC" w14:paraId="70A46330" w14:textId="77777777" w:rsidTr="0097059D">
        <w:trPr>
          <w:cantSplit/>
          <w:jc w:val="center"/>
        </w:trPr>
        <w:tc>
          <w:tcPr>
            <w:tcW w:w="564" w:type="dxa"/>
            <w:shd w:val="clear" w:color="auto" w:fill="FFFFCC"/>
            <w:vAlign w:val="center"/>
          </w:tcPr>
          <w:p w14:paraId="052EC7CD"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FFFFCC"/>
            <w:vAlign w:val="center"/>
          </w:tcPr>
          <w:p w14:paraId="6EB3A783"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Recommendation Strength Code</w:t>
            </w:r>
          </w:p>
        </w:tc>
        <w:tc>
          <w:tcPr>
            <w:tcW w:w="5438" w:type="dxa"/>
            <w:shd w:val="clear" w:color="auto" w:fill="FFFFCC"/>
            <w:vAlign w:val="center"/>
          </w:tcPr>
          <w:p w14:paraId="7D2E349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Identifier selected from a standard terminology that describes the recommendation strength</w:t>
            </w:r>
          </w:p>
        </w:tc>
      </w:tr>
      <w:tr w:rsidR="0097059D" w:rsidRPr="00AC3DDC" w14:paraId="17275020" w14:textId="77777777" w:rsidTr="0097059D">
        <w:trPr>
          <w:cantSplit/>
          <w:jc w:val="center"/>
        </w:trPr>
        <w:tc>
          <w:tcPr>
            <w:tcW w:w="564" w:type="dxa"/>
            <w:shd w:val="clear" w:color="auto" w:fill="FFFFCC"/>
            <w:vAlign w:val="center"/>
          </w:tcPr>
          <w:p w14:paraId="6D7E1CA6"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1A1E0205"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Flexibility</w:t>
            </w:r>
          </w:p>
        </w:tc>
        <w:tc>
          <w:tcPr>
            <w:tcW w:w="5438" w:type="dxa"/>
            <w:shd w:val="clear" w:color="auto" w:fill="FFFFCC"/>
            <w:vAlign w:val="center"/>
          </w:tcPr>
          <w:p w14:paraId="0C403B1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Indication of options in performing imperative</w:t>
            </w:r>
          </w:p>
        </w:tc>
      </w:tr>
      <w:tr w:rsidR="0097059D" w:rsidRPr="00AC3DDC" w14:paraId="33830E4D" w14:textId="77777777" w:rsidTr="0097059D">
        <w:trPr>
          <w:cantSplit/>
          <w:jc w:val="center"/>
        </w:trPr>
        <w:tc>
          <w:tcPr>
            <w:tcW w:w="564" w:type="dxa"/>
            <w:shd w:val="clear" w:color="auto" w:fill="FFFFCC"/>
            <w:vAlign w:val="center"/>
          </w:tcPr>
          <w:p w14:paraId="5A3997A4"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6E7B5B5F"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Logic</w:t>
            </w:r>
          </w:p>
        </w:tc>
        <w:tc>
          <w:tcPr>
            <w:tcW w:w="5438" w:type="dxa"/>
            <w:shd w:val="clear" w:color="auto" w:fill="FFFFCC"/>
            <w:vAlign w:val="center"/>
          </w:tcPr>
          <w:p w14:paraId="0D6D41D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Boolean operators that indicate how directives are to be combined</w:t>
            </w:r>
          </w:p>
        </w:tc>
      </w:tr>
      <w:tr w:rsidR="0097059D" w:rsidRPr="00AC3DDC" w14:paraId="2E6DC925" w14:textId="77777777" w:rsidTr="0097059D">
        <w:trPr>
          <w:cantSplit/>
          <w:jc w:val="center"/>
        </w:trPr>
        <w:tc>
          <w:tcPr>
            <w:tcW w:w="564" w:type="dxa"/>
            <w:shd w:val="clear" w:color="auto" w:fill="FFFFCC"/>
            <w:vAlign w:val="center"/>
          </w:tcPr>
          <w:p w14:paraId="45C860DC"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3338BD4D"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Cost</w:t>
            </w:r>
          </w:p>
        </w:tc>
        <w:tc>
          <w:tcPr>
            <w:tcW w:w="5438" w:type="dxa"/>
            <w:shd w:val="clear" w:color="auto" w:fill="FFFFCC"/>
            <w:vAlign w:val="center"/>
          </w:tcPr>
          <w:p w14:paraId="22C3039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Overall cost of performing this recommendation</w:t>
            </w:r>
          </w:p>
        </w:tc>
      </w:tr>
      <w:tr w:rsidR="0097059D" w:rsidRPr="00AC3DDC" w14:paraId="05956C14" w14:textId="77777777" w:rsidTr="0097059D">
        <w:trPr>
          <w:cantSplit/>
          <w:jc w:val="center"/>
        </w:trPr>
        <w:tc>
          <w:tcPr>
            <w:tcW w:w="564" w:type="dxa"/>
            <w:shd w:val="clear" w:color="auto" w:fill="FFFFCC"/>
            <w:vAlign w:val="center"/>
          </w:tcPr>
          <w:p w14:paraId="44CA4BA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1FC472BA"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Linkage</w:t>
            </w:r>
          </w:p>
        </w:tc>
        <w:tc>
          <w:tcPr>
            <w:tcW w:w="5438" w:type="dxa"/>
            <w:shd w:val="clear" w:color="auto" w:fill="FFFFCC"/>
            <w:vAlign w:val="center"/>
          </w:tcPr>
          <w:p w14:paraId="4E71FA2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 xml:space="preserve">Indicator of a relationship between this recommendation and </w:t>
            </w:r>
            <w:proofErr w:type="gramStart"/>
            <w:r w:rsidRPr="00AC3DDC">
              <w:rPr>
                <w:rFonts w:cs="Calibri"/>
                <w:sz w:val="20"/>
                <w:szCs w:val="20"/>
              </w:rPr>
              <w:t>other</w:t>
            </w:r>
            <w:proofErr w:type="gramEnd"/>
            <w:r w:rsidRPr="00AC3DDC">
              <w:rPr>
                <w:rFonts w:cs="Calibri"/>
                <w:sz w:val="20"/>
                <w:szCs w:val="20"/>
              </w:rPr>
              <w:t xml:space="preserve"> knowledge component(s)</w:t>
            </w:r>
          </w:p>
        </w:tc>
      </w:tr>
      <w:tr w:rsidR="0097059D" w:rsidRPr="00AC3DDC" w14:paraId="354BD7C4" w14:textId="77777777" w:rsidTr="0097059D">
        <w:trPr>
          <w:cantSplit/>
          <w:jc w:val="center"/>
        </w:trPr>
        <w:tc>
          <w:tcPr>
            <w:tcW w:w="564" w:type="dxa"/>
            <w:shd w:val="clear" w:color="auto" w:fill="FFFFCC"/>
            <w:vAlign w:val="center"/>
          </w:tcPr>
          <w:p w14:paraId="505FF58F"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0C5C54EE"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Reference</w:t>
            </w:r>
          </w:p>
        </w:tc>
        <w:tc>
          <w:tcPr>
            <w:tcW w:w="5438" w:type="dxa"/>
            <w:shd w:val="clear" w:color="auto" w:fill="FFFFCC"/>
            <w:vAlign w:val="center"/>
          </w:tcPr>
          <w:p w14:paraId="4D32EA1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Specific citation relevant to this imperative recommendation</w:t>
            </w:r>
          </w:p>
        </w:tc>
      </w:tr>
      <w:tr w:rsidR="0097059D" w:rsidRPr="00AC3DDC" w14:paraId="080DDCFF" w14:textId="77777777" w:rsidTr="0097059D">
        <w:trPr>
          <w:cantSplit/>
          <w:jc w:val="center"/>
        </w:trPr>
        <w:tc>
          <w:tcPr>
            <w:tcW w:w="564" w:type="dxa"/>
            <w:shd w:val="clear" w:color="auto" w:fill="FFFFCC"/>
            <w:vAlign w:val="center"/>
          </w:tcPr>
          <w:p w14:paraId="39A13865"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78FD4B63"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Certainty</w:t>
            </w:r>
          </w:p>
        </w:tc>
        <w:tc>
          <w:tcPr>
            <w:tcW w:w="5438" w:type="dxa"/>
            <w:shd w:val="clear" w:color="auto" w:fill="FFFFCC"/>
            <w:vAlign w:val="center"/>
          </w:tcPr>
          <w:p w14:paraId="284206D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Indication of the likelihood that this recommendation will lead to specified outcomes</w:t>
            </w:r>
          </w:p>
        </w:tc>
      </w:tr>
      <w:tr w:rsidR="0097059D" w:rsidRPr="00AC3DDC" w14:paraId="740336AE" w14:textId="77777777" w:rsidTr="0097059D">
        <w:trPr>
          <w:cantSplit/>
          <w:jc w:val="center"/>
        </w:trPr>
        <w:tc>
          <w:tcPr>
            <w:tcW w:w="564" w:type="dxa"/>
            <w:shd w:val="clear" w:color="auto" w:fill="FFFFCC"/>
            <w:vAlign w:val="center"/>
          </w:tcPr>
          <w:p w14:paraId="16E3E986"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08266B6"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Goal</w:t>
            </w:r>
          </w:p>
        </w:tc>
        <w:tc>
          <w:tcPr>
            <w:tcW w:w="5438" w:type="dxa"/>
            <w:shd w:val="clear" w:color="auto" w:fill="FFFFCC"/>
            <w:vAlign w:val="center"/>
          </w:tcPr>
          <w:p w14:paraId="65AB345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state that a recommendation is intended to achieve, maintain, or avoid</w:t>
            </w:r>
          </w:p>
        </w:tc>
      </w:tr>
      <w:tr w:rsidR="0097059D" w:rsidRPr="00AC3DDC" w14:paraId="0A9C77A7" w14:textId="77777777" w:rsidTr="0097059D">
        <w:trPr>
          <w:cantSplit/>
          <w:jc w:val="center"/>
        </w:trPr>
        <w:tc>
          <w:tcPr>
            <w:tcW w:w="564" w:type="dxa"/>
            <w:shd w:val="clear" w:color="auto" w:fill="FFFFCC"/>
            <w:vAlign w:val="center"/>
          </w:tcPr>
          <w:p w14:paraId="3A55ABF2"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3B22AC6"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Imperative</w:t>
            </w:r>
          </w:p>
        </w:tc>
        <w:tc>
          <w:tcPr>
            <w:tcW w:w="5438" w:type="dxa"/>
            <w:shd w:val="clear" w:color="auto" w:fill="FFFFCC"/>
            <w:vAlign w:val="center"/>
          </w:tcPr>
          <w:p w14:paraId="651FA8D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Recommendation directed at the entire target population without limitation. The complete text of the imperative statement should be stored in this element</w:t>
            </w:r>
          </w:p>
        </w:tc>
      </w:tr>
      <w:tr w:rsidR="0097059D" w:rsidRPr="00AC3DDC" w14:paraId="5268A206" w14:textId="77777777" w:rsidTr="0097059D">
        <w:trPr>
          <w:cantSplit/>
          <w:jc w:val="center"/>
        </w:trPr>
        <w:tc>
          <w:tcPr>
            <w:tcW w:w="564" w:type="dxa"/>
            <w:shd w:val="clear" w:color="auto" w:fill="FFFFCC"/>
            <w:vAlign w:val="center"/>
          </w:tcPr>
          <w:p w14:paraId="2FA702B5"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FFFFCC"/>
            <w:vAlign w:val="center"/>
          </w:tcPr>
          <w:p w14:paraId="351FA6B5"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Benefit Harm Assessment</w:t>
            </w:r>
          </w:p>
        </w:tc>
        <w:tc>
          <w:tcPr>
            <w:tcW w:w="5438" w:type="dxa"/>
            <w:shd w:val="clear" w:color="auto" w:fill="FFFFCC"/>
            <w:vAlign w:val="center"/>
          </w:tcPr>
          <w:p w14:paraId="1A4B362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process (including values applied) and the outcome of weighing benefits against risks, harms, and costs that expresses equilibrium or net benefit or harm.</w:t>
            </w:r>
          </w:p>
        </w:tc>
      </w:tr>
      <w:tr w:rsidR="0097059D" w:rsidRPr="00AC3DDC" w14:paraId="59DDF785" w14:textId="77777777" w:rsidTr="0097059D">
        <w:trPr>
          <w:cantSplit/>
          <w:jc w:val="center"/>
        </w:trPr>
        <w:tc>
          <w:tcPr>
            <w:tcW w:w="564" w:type="dxa"/>
            <w:shd w:val="clear" w:color="auto" w:fill="FFFFCC"/>
            <w:vAlign w:val="center"/>
          </w:tcPr>
          <w:p w14:paraId="131C9AB2"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B676253"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Scope</w:t>
            </w:r>
          </w:p>
        </w:tc>
        <w:tc>
          <w:tcPr>
            <w:tcW w:w="5438" w:type="dxa"/>
            <w:shd w:val="clear" w:color="auto" w:fill="FFFFCC"/>
            <w:vAlign w:val="center"/>
          </w:tcPr>
          <w:p w14:paraId="5833E4D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Implicit eligibility criteria for an imperative statement</w:t>
            </w:r>
          </w:p>
        </w:tc>
      </w:tr>
      <w:tr w:rsidR="0097059D" w:rsidRPr="00AC3DDC" w14:paraId="31DD6F20" w14:textId="77777777" w:rsidTr="0097059D">
        <w:trPr>
          <w:cantSplit/>
          <w:jc w:val="center"/>
        </w:trPr>
        <w:tc>
          <w:tcPr>
            <w:tcW w:w="564" w:type="dxa"/>
            <w:shd w:val="clear" w:color="auto" w:fill="FFFFCC"/>
            <w:vAlign w:val="center"/>
          </w:tcPr>
          <w:p w14:paraId="336DA21A"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FFFFCC"/>
            <w:vAlign w:val="center"/>
          </w:tcPr>
          <w:p w14:paraId="0FF091CB"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Scope Code</w:t>
            </w:r>
          </w:p>
        </w:tc>
        <w:tc>
          <w:tcPr>
            <w:tcW w:w="5438" w:type="dxa"/>
            <w:shd w:val="clear" w:color="auto" w:fill="FFFFCC"/>
            <w:vAlign w:val="center"/>
          </w:tcPr>
          <w:p w14:paraId="1B15E42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Identifier selected from a standard terminology that describes the scope</w:t>
            </w:r>
          </w:p>
        </w:tc>
      </w:tr>
      <w:tr w:rsidR="0097059D" w:rsidRPr="00AC3DDC" w14:paraId="71AF40ED" w14:textId="77777777" w:rsidTr="0097059D">
        <w:trPr>
          <w:cantSplit/>
          <w:jc w:val="center"/>
        </w:trPr>
        <w:tc>
          <w:tcPr>
            <w:tcW w:w="564" w:type="dxa"/>
            <w:shd w:val="clear" w:color="auto" w:fill="FFFFCC"/>
            <w:vAlign w:val="center"/>
          </w:tcPr>
          <w:p w14:paraId="16FCEDC1"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0039B166"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Directive</w:t>
            </w:r>
          </w:p>
        </w:tc>
        <w:tc>
          <w:tcPr>
            <w:tcW w:w="5438" w:type="dxa"/>
            <w:shd w:val="clear" w:color="auto" w:fill="FFFFCC"/>
            <w:vAlign w:val="center"/>
          </w:tcPr>
          <w:p w14:paraId="405756F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appropriate activity for the eligible population. Store only a single activity in each Directive element</w:t>
            </w:r>
          </w:p>
        </w:tc>
      </w:tr>
      <w:tr w:rsidR="0097059D" w:rsidRPr="00AC3DDC" w14:paraId="235AB6F8" w14:textId="77777777" w:rsidTr="0097059D">
        <w:trPr>
          <w:cantSplit/>
          <w:jc w:val="center"/>
        </w:trPr>
        <w:tc>
          <w:tcPr>
            <w:tcW w:w="564" w:type="dxa"/>
            <w:shd w:val="clear" w:color="auto" w:fill="FFFFCC"/>
            <w:vAlign w:val="center"/>
          </w:tcPr>
          <w:p w14:paraId="6B5AC978"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14EFE6B9"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Benefit</w:t>
            </w:r>
          </w:p>
        </w:tc>
        <w:tc>
          <w:tcPr>
            <w:tcW w:w="5438" w:type="dxa"/>
            <w:shd w:val="clear" w:color="auto" w:fill="FFFFCC"/>
            <w:vAlign w:val="center"/>
          </w:tcPr>
          <w:p w14:paraId="527310D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improvement in status that may occur as a result of following a directive</w:t>
            </w:r>
          </w:p>
        </w:tc>
      </w:tr>
      <w:tr w:rsidR="0097059D" w:rsidRPr="00AC3DDC" w14:paraId="2A15E953" w14:textId="77777777" w:rsidTr="0097059D">
        <w:trPr>
          <w:cantSplit/>
          <w:jc w:val="center"/>
        </w:trPr>
        <w:tc>
          <w:tcPr>
            <w:tcW w:w="564" w:type="dxa"/>
            <w:shd w:val="clear" w:color="auto" w:fill="FFFFCC"/>
            <w:vAlign w:val="center"/>
          </w:tcPr>
          <w:p w14:paraId="6A2A02E9"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68BE9509"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Risk Harm</w:t>
            </w:r>
          </w:p>
        </w:tc>
        <w:tc>
          <w:tcPr>
            <w:tcW w:w="5438" w:type="dxa"/>
            <w:shd w:val="clear" w:color="auto" w:fill="FFFFCC"/>
            <w:vAlign w:val="center"/>
          </w:tcPr>
          <w:p w14:paraId="726865C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Risk or adverse outcome associated with implementation of a directive</w:t>
            </w:r>
          </w:p>
        </w:tc>
      </w:tr>
      <w:tr w:rsidR="0097059D" w:rsidRPr="00AC3DDC" w14:paraId="719CB140" w14:textId="77777777" w:rsidTr="0097059D">
        <w:trPr>
          <w:cantSplit/>
          <w:jc w:val="center"/>
        </w:trPr>
        <w:tc>
          <w:tcPr>
            <w:tcW w:w="564" w:type="dxa"/>
            <w:shd w:val="clear" w:color="auto" w:fill="FFFFCC"/>
            <w:vAlign w:val="center"/>
          </w:tcPr>
          <w:p w14:paraId="25A4E135"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41606FBE"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Actor</w:t>
            </w:r>
          </w:p>
        </w:tc>
        <w:tc>
          <w:tcPr>
            <w:tcW w:w="5438" w:type="dxa"/>
            <w:shd w:val="clear" w:color="auto" w:fill="FFFFCC"/>
            <w:vAlign w:val="center"/>
          </w:tcPr>
          <w:p w14:paraId="2BAB9C6C"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person(s) or role intended to carry out the recommended activity</w:t>
            </w:r>
          </w:p>
        </w:tc>
      </w:tr>
      <w:tr w:rsidR="0097059D" w:rsidRPr="00AC3DDC" w14:paraId="7E3A4A47" w14:textId="77777777" w:rsidTr="0097059D">
        <w:trPr>
          <w:cantSplit/>
          <w:jc w:val="center"/>
        </w:trPr>
        <w:tc>
          <w:tcPr>
            <w:tcW w:w="564" w:type="dxa"/>
            <w:shd w:val="clear" w:color="auto" w:fill="FFFFCC"/>
            <w:vAlign w:val="center"/>
          </w:tcPr>
          <w:p w14:paraId="2348D22C"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3BB3A772"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Verb</w:t>
            </w:r>
          </w:p>
        </w:tc>
        <w:tc>
          <w:tcPr>
            <w:tcW w:w="5438" w:type="dxa"/>
            <w:shd w:val="clear" w:color="auto" w:fill="FFFFCC"/>
            <w:vAlign w:val="center"/>
          </w:tcPr>
          <w:p w14:paraId="762B827F"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word or phrase in a recommendation that expresses action, state, or relationship</w:t>
            </w:r>
          </w:p>
        </w:tc>
      </w:tr>
      <w:tr w:rsidR="0097059D" w:rsidRPr="00AC3DDC" w14:paraId="6D215FEE" w14:textId="77777777" w:rsidTr="0097059D">
        <w:trPr>
          <w:cantSplit/>
          <w:jc w:val="center"/>
        </w:trPr>
        <w:tc>
          <w:tcPr>
            <w:tcW w:w="564" w:type="dxa"/>
            <w:shd w:val="clear" w:color="auto" w:fill="FFFFCC"/>
            <w:vAlign w:val="center"/>
          </w:tcPr>
          <w:p w14:paraId="1D4087A5" w14:textId="77777777" w:rsidR="0097059D" w:rsidRPr="00AC3DDC" w:rsidRDefault="0097059D" w:rsidP="0097059D">
            <w:pPr>
              <w:jc w:val="center"/>
              <w:rPr>
                <w:rFonts w:cs="Calibri"/>
              </w:rPr>
            </w:pPr>
            <w:r w:rsidRPr="00AC3DDC">
              <w:rPr>
                <w:rFonts w:cs="Calibri"/>
                <w:b/>
                <w:sz w:val="24"/>
                <w:szCs w:val="24"/>
              </w:rPr>
              <w:lastRenderedPageBreak/>
              <w:sym w:font="Wingdings 2" w:char="F050"/>
            </w:r>
          </w:p>
        </w:tc>
        <w:tc>
          <w:tcPr>
            <w:tcW w:w="3574" w:type="dxa"/>
            <w:shd w:val="clear" w:color="auto" w:fill="FFFFCC"/>
            <w:vAlign w:val="center"/>
          </w:tcPr>
          <w:p w14:paraId="4FA0968A"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Deontic Term</w:t>
            </w:r>
          </w:p>
        </w:tc>
        <w:tc>
          <w:tcPr>
            <w:tcW w:w="5438" w:type="dxa"/>
            <w:shd w:val="clear" w:color="auto" w:fill="FFFFCC"/>
            <w:vAlign w:val="center"/>
          </w:tcPr>
          <w:p w14:paraId="5EBBFE8D"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The word or phrase that defines the level of obligation of an active or directive</w:t>
            </w:r>
          </w:p>
        </w:tc>
      </w:tr>
      <w:tr w:rsidR="0097059D" w:rsidRPr="00AC3DDC" w14:paraId="4B0F4C91" w14:textId="77777777" w:rsidTr="0097059D">
        <w:trPr>
          <w:cantSplit/>
          <w:jc w:val="center"/>
        </w:trPr>
        <w:tc>
          <w:tcPr>
            <w:tcW w:w="564" w:type="dxa"/>
            <w:shd w:val="clear" w:color="auto" w:fill="FFFFCC"/>
            <w:vAlign w:val="center"/>
          </w:tcPr>
          <w:p w14:paraId="346A1F34"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663BDD8A"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Verb Complement</w:t>
            </w:r>
          </w:p>
        </w:tc>
        <w:tc>
          <w:tcPr>
            <w:tcW w:w="5438" w:type="dxa"/>
            <w:shd w:val="clear" w:color="auto" w:fill="FFFFCC"/>
            <w:vAlign w:val="center"/>
          </w:tcPr>
          <w:p w14:paraId="21AED432"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Word or phrase that completes the sense of a verb and includes direct and indirect objects</w:t>
            </w:r>
          </w:p>
        </w:tc>
      </w:tr>
      <w:tr w:rsidR="0097059D" w:rsidRPr="00AC3DDC" w14:paraId="59158480" w14:textId="77777777" w:rsidTr="0097059D">
        <w:trPr>
          <w:cantSplit/>
          <w:jc w:val="center"/>
        </w:trPr>
        <w:tc>
          <w:tcPr>
            <w:tcW w:w="564" w:type="dxa"/>
            <w:shd w:val="clear" w:color="auto" w:fill="FFFFCC"/>
            <w:vAlign w:val="center"/>
          </w:tcPr>
          <w:p w14:paraId="24F93EAE" w14:textId="77777777" w:rsidR="0097059D" w:rsidRPr="00AC3DDC" w:rsidRDefault="0097059D" w:rsidP="0097059D">
            <w:pPr>
              <w:jc w:val="center"/>
              <w:rPr>
                <w:rFonts w:cs="Calibri"/>
              </w:rPr>
            </w:pPr>
            <w:r w:rsidRPr="00AC3DDC">
              <w:rPr>
                <w:rFonts w:cs="Calibri"/>
                <w:b/>
                <w:sz w:val="24"/>
                <w:szCs w:val="24"/>
              </w:rPr>
              <w:sym w:font="Wingdings 2" w:char="F050"/>
            </w:r>
          </w:p>
        </w:tc>
        <w:tc>
          <w:tcPr>
            <w:tcW w:w="3574" w:type="dxa"/>
            <w:shd w:val="clear" w:color="auto" w:fill="FFFFCC"/>
            <w:vAlign w:val="center"/>
          </w:tcPr>
          <w:p w14:paraId="08E65130" w14:textId="77777777" w:rsidR="0097059D" w:rsidRPr="00AC3DDC" w:rsidRDefault="0097059D"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Code</w:t>
            </w:r>
          </w:p>
        </w:tc>
        <w:tc>
          <w:tcPr>
            <w:tcW w:w="5438" w:type="dxa"/>
            <w:shd w:val="clear" w:color="auto" w:fill="FFFFCC"/>
            <w:vAlign w:val="center"/>
          </w:tcPr>
          <w:p w14:paraId="06C545DB" w14:textId="77777777" w:rsidR="0097059D" w:rsidRPr="00AC3DDC" w:rsidRDefault="0097059D" w:rsidP="00E44DD0">
            <w:pPr>
              <w:spacing w:before="20" w:afterLines="20" w:after="48" w:line="240" w:lineRule="auto"/>
              <w:rPr>
                <w:rFonts w:cs="Calibri"/>
                <w:sz w:val="20"/>
                <w:szCs w:val="20"/>
              </w:rPr>
            </w:pPr>
            <w:r w:rsidRPr="00AC3DDC">
              <w:rPr>
                <w:rFonts w:cs="Calibri"/>
                <w:sz w:val="20"/>
                <w:szCs w:val="20"/>
              </w:rPr>
              <w:t>Identifier selected from a standard terminology that describes an action or directive</w:t>
            </w:r>
          </w:p>
        </w:tc>
      </w:tr>
      <w:tr w:rsidR="0097059D" w:rsidRPr="00AC3DDC" w14:paraId="18EC8EB4" w14:textId="77777777" w:rsidTr="0097059D">
        <w:trPr>
          <w:cantSplit/>
          <w:jc w:val="center"/>
        </w:trPr>
        <w:tc>
          <w:tcPr>
            <w:tcW w:w="564" w:type="dxa"/>
            <w:shd w:val="clear" w:color="auto" w:fill="FFFFCC"/>
            <w:vAlign w:val="center"/>
          </w:tcPr>
          <w:p w14:paraId="29890735"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8E63487"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Description</w:t>
            </w:r>
          </w:p>
        </w:tc>
        <w:tc>
          <w:tcPr>
            <w:tcW w:w="5438" w:type="dxa"/>
            <w:shd w:val="clear" w:color="auto" w:fill="FFFFCC"/>
            <w:vAlign w:val="center"/>
          </w:tcPr>
          <w:p w14:paraId="0279E25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Text that provides and amplifies information about a directive</w:t>
            </w:r>
          </w:p>
        </w:tc>
      </w:tr>
      <w:tr w:rsidR="0097059D" w:rsidRPr="00AC3DDC" w14:paraId="64DDA7D3" w14:textId="77777777" w:rsidTr="0097059D">
        <w:trPr>
          <w:cantSplit/>
          <w:jc w:val="center"/>
        </w:trPr>
        <w:tc>
          <w:tcPr>
            <w:tcW w:w="564" w:type="dxa"/>
            <w:shd w:val="clear" w:color="auto" w:fill="FFFFCC"/>
            <w:vAlign w:val="center"/>
          </w:tcPr>
          <w:p w14:paraId="462B4F3B"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68B71FD" w14:textId="77777777" w:rsidR="005A6323" w:rsidRPr="00AC3DDC" w:rsidRDefault="005A6323" w:rsidP="005A6323">
            <w:pPr>
              <w:numPr>
                <w:ilvl w:val="0"/>
                <w:numId w:val="3"/>
              </w:numPr>
              <w:spacing w:before="20" w:afterLines="20" w:after="48" w:line="240" w:lineRule="auto"/>
              <w:rPr>
                <w:rFonts w:cs="Calibri"/>
                <w:sz w:val="20"/>
                <w:szCs w:val="20"/>
              </w:rPr>
            </w:pPr>
            <w:r w:rsidRPr="00AC3DDC">
              <w:rPr>
                <w:rFonts w:cs="Calibri"/>
                <w:sz w:val="20"/>
                <w:szCs w:val="20"/>
              </w:rPr>
              <w:t>Intentional Vagueness</w:t>
            </w:r>
          </w:p>
        </w:tc>
        <w:tc>
          <w:tcPr>
            <w:tcW w:w="5438" w:type="dxa"/>
            <w:shd w:val="clear" w:color="auto" w:fill="FFFFCC"/>
            <w:vAlign w:val="center"/>
          </w:tcPr>
          <w:p w14:paraId="2EA0AB7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reason for deliberate underspecification of a recommendation’s conditions or actions</w:t>
            </w:r>
          </w:p>
        </w:tc>
      </w:tr>
      <w:tr w:rsidR="0097059D" w:rsidRPr="00AC3DDC" w14:paraId="6D1C0F58" w14:textId="77777777" w:rsidTr="0097059D">
        <w:trPr>
          <w:cantSplit/>
          <w:jc w:val="center"/>
        </w:trPr>
        <w:tc>
          <w:tcPr>
            <w:tcW w:w="564" w:type="dxa"/>
            <w:shd w:val="clear" w:color="auto" w:fill="FFFFCC"/>
            <w:vAlign w:val="center"/>
          </w:tcPr>
          <w:p w14:paraId="267C361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06334A60"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Cost</w:t>
            </w:r>
          </w:p>
        </w:tc>
        <w:tc>
          <w:tcPr>
            <w:tcW w:w="5438" w:type="dxa"/>
            <w:shd w:val="clear" w:color="auto" w:fill="FFFFCC"/>
            <w:vAlign w:val="center"/>
          </w:tcPr>
          <w:p w14:paraId="78B905A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Cost of performing a specific directive</w:t>
            </w:r>
          </w:p>
        </w:tc>
      </w:tr>
      <w:tr w:rsidR="0097059D" w:rsidRPr="00AC3DDC" w14:paraId="6388E78F" w14:textId="77777777" w:rsidTr="0097059D">
        <w:trPr>
          <w:cantSplit/>
          <w:jc w:val="center"/>
        </w:trPr>
        <w:tc>
          <w:tcPr>
            <w:tcW w:w="564" w:type="dxa"/>
            <w:shd w:val="clear" w:color="auto" w:fill="FFFFCC"/>
            <w:vAlign w:val="center"/>
          </w:tcPr>
          <w:p w14:paraId="68859E13"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690E2986"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Value</w:t>
            </w:r>
          </w:p>
        </w:tc>
        <w:tc>
          <w:tcPr>
            <w:tcW w:w="5438" w:type="dxa"/>
            <w:shd w:val="clear" w:color="auto" w:fill="FFFFCC"/>
            <w:vAlign w:val="center"/>
          </w:tcPr>
          <w:p w14:paraId="5F5BE5B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specified state of a directive</w:t>
            </w:r>
          </w:p>
        </w:tc>
      </w:tr>
      <w:tr w:rsidR="0097059D" w:rsidRPr="00AC3DDC" w14:paraId="572BF566" w14:textId="77777777" w:rsidTr="0097059D">
        <w:trPr>
          <w:cantSplit/>
          <w:jc w:val="center"/>
        </w:trPr>
        <w:tc>
          <w:tcPr>
            <w:tcW w:w="564" w:type="dxa"/>
            <w:shd w:val="clear" w:color="auto" w:fill="FFFFCC"/>
            <w:vAlign w:val="center"/>
          </w:tcPr>
          <w:p w14:paraId="162854BC"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24476679"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Directive Type</w:t>
            </w:r>
          </w:p>
        </w:tc>
        <w:tc>
          <w:tcPr>
            <w:tcW w:w="5438" w:type="dxa"/>
            <w:shd w:val="clear" w:color="auto" w:fill="FFFFCC"/>
            <w:vAlign w:val="center"/>
          </w:tcPr>
          <w:p w14:paraId="6232EFF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categorization of activity directed by an imperative</w:t>
            </w:r>
          </w:p>
        </w:tc>
      </w:tr>
      <w:tr w:rsidR="0097059D" w:rsidRPr="00AC3DDC" w14:paraId="24A5AC25" w14:textId="77777777" w:rsidTr="0097059D">
        <w:trPr>
          <w:cantSplit/>
          <w:jc w:val="center"/>
        </w:trPr>
        <w:tc>
          <w:tcPr>
            <w:tcW w:w="564" w:type="dxa"/>
            <w:shd w:val="clear" w:color="auto" w:fill="FFFFCC"/>
            <w:vAlign w:val="center"/>
          </w:tcPr>
          <w:p w14:paraId="4C7225C4"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521FB6A1"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Reason</w:t>
            </w:r>
          </w:p>
        </w:tc>
        <w:tc>
          <w:tcPr>
            <w:tcW w:w="5438" w:type="dxa"/>
            <w:shd w:val="clear" w:color="auto" w:fill="FFFFCC"/>
            <w:vAlign w:val="center"/>
          </w:tcPr>
          <w:p w14:paraId="25AE23F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explanation or justification for a recommendation</w:t>
            </w:r>
          </w:p>
        </w:tc>
      </w:tr>
      <w:tr w:rsidR="0097059D" w:rsidRPr="00AC3DDC" w14:paraId="4C68C445" w14:textId="77777777" w:rsidTr="0097059D">
        <w:trPr>
          <w:cantSplit/>
          <w:jc w:val="center"/>
        </w:trPr>
        <w:tc>
          <w:tcPr>
            <w:tcW w:w="564" w:type="dxa"/>
            <w:shd w:val="clear" w:color="auto" w:fill="FFFFCC"/>
            <w:vAlign w:val="center"/>
          </w:tcPr>
          <w:p w14:paraId="02C9C7E2"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1205E4AC"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Evidence Quality</w:t>
            </w:r>
          </w:p>
        </w:tc>
        <w:tc>
          <w:tcPr>
            <w:tcW w:w="5438" w:type="dxa"/>
            <w:shd w:val="clear" w:color="auto" w:fill="FFFFCC"/>
            <w:vAlign w:val="center"/>
          </w:tcPr>
          <w:p w14:paraId="07225D7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methodologic rigor of the studies that support the specified recommendation</w:t>
            </w:r>
          </w:p>
        </w:tc>
      </w:tr>
      <w:tr w:rsidR="0097059D" w:rsidRPr="00AC3DDC" w14:paraId="1A2529BD" w14:textId="77777777" w:rsidTr="0097059D">
        <w:trPr>
          <w:cantSplit/>
          <w:jc w:val="center"/>
        </w:trPr>
        <w:tc>
          <w:tcPr>
            <w:tcW w:w="564" w:type="dxa"/>
            <w:shd w:val="clear" w:color="auto" w:fill="FFFFCC"/>
            <w:vAlign w:val="center"/>
          </w:tcPr>
          <w:p w14:paraId="6A3E78AF"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79A8C7CF"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Recommendation Strength</w:t>
            </w:r>
          </w:p>
        </w:tc>
        <w:tc>
          <w:tcPr>
            <w:tcW w:w="5438" w:type="dxa"/>
            <w:shd w:val="clear" w:color="auto" w:fill="FFFFCC"/>
            <w:vAlign w:val="center"/>
          </w:tcPr>
          <w:p w14:paraId="5B06422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 indication of the guideline developers' level of support for a given recommendation</w:t>
            </w:r>
          </w:p>
        </w:tc>
      </w:tr>
      <w:tr w:rsidR="0097059D" w:rsidRPr="00AC3DDC" w14:paraId="5CFD3781" w14:textId="77777777" w:rsidTr="0097059D">
        <w:trPr>
          <w:cantSplit/>
          <w:jc w:val="center"/>
        </w:trPr>
        <w:tc>
          <w:tcPr>
            <w:tcW w:w="564" w:type="dxa"/>
            <w:shd w:val="clear" w:color="auto" w:fill="FFFFCC"/>
            <w:vAlign w:val="center"/>
          </w:tcPr>
          <w:p w14:paraId="1EBF0164" w14:textId="77777777" w:rsidR="005A6323" w:rsidRPr="00AC3DDC" w:rsidRDefault="0097059D" w:rsidP="0097059D">
            <w:pPr>
              <w:spacing w:before="20" w:afterLines="20" w:after="48" w:line="240" w:lineRule="auto"/>
              <w:jc w:val="center"/>
              <w:rPr>
                <w:rFonts w:cs="Calibri"/>
              </w:rPr>
            </w:pPr>
            <w:r w:rsidRPr="00AC3DDC">
              <w:rPr>
                <w:rFonts w:cs="Calibri"/>
                <w:b/>
                <w:sz w:val="24"/>
                <w:szCs w:val="24"/>
              </w:rPr>
              <w:sym w:font="Wingdings 2" w:char="F050"/>
            </w:r>
          </w:p>
        </w:tc>
        <w:tc>
          <w:tcPr>
            <w:tcW w:w="3574" w:type="dxa"/>
            <w:shd w:val="clear" w:color="auto" w:fill="FFFFCC"/>
            <w:vAlign w:val="center"/>
          </w:tcPr>
          <w:p w14:paraId="20A528FB" w14:textId="77777777" w:rsidR="005A6323" w:rsidRPr="00AC3DDC" w:rsidRDefault="005A6323" w:rsidP="005A6323">
            <w:pPr>
              <w:numPr>
                <w:ilvl w:val="3"/>
                <w:numId w:val="2"/>
              </w:numPr>
              <w:spacing w:before="20" w:afterLines="20" w:after="48" w:line="240" w:lineRule="auto"/>
              <w:ind w:left="1350"/>
              <w:rPr>
                <w:rFonts w:cs="Calibri"/>
                <w:sz w:val="20"/>
                <w:szCs w:val="20"/>
              </w:rPr>
            </w:pPr>
            <w:r w:rsidRPr="00AC3DDC">
              <w:rPr>
                <w:rFonts w:cs="Calibri"/>
                <w:sz w:val="20"/>
                <w:szCs w:val="20"/>
              </w:rPr>
              <w:t>Recommendation Strength Code</w:t>
            </w:r>
          </w:p>
        </w:tc>
        <w:tc>
          <w:tcPr>
            <w:tcW w:w="5438" w:type="dxa"/>
            <w:shd w:val="clear" w:color="auto" w:fill="FFFFCC"/>
            <w:vAlign w:val="center"/>
          </w:tcPr>
          <w:p w14:paraId="7B21DBE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Identifier selected from a standard terminology that describes the recommendation strength</w:t>
            </w:r>
          </w:p>
        </w:tc>
      </w:tr>
      <w:tr w:rsidR="0097059D" w:rsidRPr="00AC3DDC" w14:paraId="0F2532A5" w14:textId="77777777" w:rsidTr="0097059D">
        <w:trPr>
          <w:cantSplit/>
          <w:jc w:val="center"/>
        </w:trPr>
        <w:tc>
          <w:tcPr>
            <w:tcW w:w="564" w:type="dxa"/>
            <w:shd w:val="clear" w:color="auto" w:fill="FFFFCC"/>
            <w:vAlign w:val="center"/>
          </w:tcPr>
          <w:p w14:paraId="794737EF"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3C39D77E"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Flexibility</w:t>
            </w:r>
          </w:p>
        </w:tc>
        <w:tc>
          <w:tcPr>
            <w:tcW w:w="5438" w:type="dxa"/>
            <w:shd w:val="clear" w:color="auto" w:fill="FFFFCC"/>
            <w:vAlign w:val="center"/>
          </w:tcPr>
          <w:p w14:paraId="120CC66E"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Indication of options in performing imperative</w:t>
            </w:r>
          </w:p>
        </w:tc>
      </w:tr>
      <w:tr w:rsidR="0097059D" w:rsidRPr="00AC3DDC" w14:paraId="26477C90" w14:textId="77777777" w:rsidTr="0097059D">
        <w:trPr>
          <w:cantSplit/>
          <w:jc w:val="center"/>
        </w:trPr>
        <w:tc>
          <w:tcPr>
            <w:tcW w:w="564" w:type="dxa"/>
            <w:shd w:val="clear" w:color="auto" w:fill="FFFFCC"/>
            <w:vAlign w:val="center"/>
          </w:tcPr>
          <w:p w14:paraId="21149EC3"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2F1B68DF"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Logic</w:t>
            </w:r>
          </w:p>
        </w:tc>
        <w:tc>
          <w:tcPr>
            <w:tcW w:w="5438" w:type="dxa"/>
            <w:shd w:val="clear" w:color="auto" w:fill="FFFFCC"/>
            <w:vAlign w:val="center"/>
          </w:tcPr>
          <w:p w14:paraId="4992F82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Boolean operators that indicate how directives are to be combined</w:t>
            </w:r>
          </w:p>
        </w:tc>
      </w:tr>
      <w:tr w:rsidR="0097059D" w:rsidRPr="00AC3DDC" w14:paraId="7FDAD0A5" w14:textId="77777777" w:rsidTr="0097059D">
        <w:trPr>
          <w:cantSplit/>
          <w:jc w:val="center"/>
        </w:trPr>
        <w:tc>
          <w:tcPr>
            <w:tcW w:w="564" w:type="dxa"/>
            <w:shd w:val="clear" w:color="auto" w:fill="FFFFCC"/>
            <w:vAlign w:val="center"/>
          </w:tcPr>
          <w:p w14:paraId="1F826C38"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697E53E4"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Cost</w:t>
            </w:r>
          </w:p>
        </w:tc>
        <w:tc>
          <w:tcPr>
            <w:tcW w:w="5438" w:type="dxa"/>
            <w:shd w:val="clear" w:color="auto" w:fill="FFFFCC"/>
            <w:vAlign w:val="center"/>
          </w:tcPr>
          <w:p w14:paraId="2E6550D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Overall cost of performing this recommendation</w:t>
            </w:r>
          </w:p>
        </w:tc>
      </w:tr>
      <w:tr w:rsidR="0097059D" w:rsidRPr="00AC3DDC" w14:paraId="6AB901CC" w14:textId="77777777" w:rsidTr="0097059D">
        <w:trPr>
          <w:cantSplit/>
          <w:jc w:val="center"/>
        </w:trPr>
        <w:tc>
          <w:tcPr>
            <w:tcW w:w="564" w:type="dxa"/>
            <w:shd w:val="clear" w:color="auto" w:fill="FFFFCC"/>
            <w:vAlign w:val="center"/>
          </w:tcPr>
          <w:p w14:paraId="08833EE8"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2E111297"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Linkage</w:t>
            </w:r>
          </w:p>
        </w:tc>
        <w:tc>
          <w:tcPr>
            <w:tcW w:w="5438" w:type="dxa"/>
            <w:shd w:val="clear" w:color="auto" w:fill="FFFFCC"/>
            <w:vAlign w:val="center"/>
          </w:tcPr>
          <w:p w14:paraId="6002E93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 xml:space="preserve">Indicator of a relationship between this recommendation and </w:t>
            </w:r>
            <w:proofErr w:type="gramStart"/>
            <w:r w:rsidRPr="00AC3DDC">
              <w:rPr>
                <w:rFonts w:cs="Calibri"/>
                <w:sz w:val="20"/>
                <w:szCs w:val="20"/>
              </w:rPr>
              <w:t>other</w:t>
            </w:r>
            <w:proofErr w:type="gramEnd"/>
            <w:r w:rsidRPr="00AC3DDC">
              <w:rPr>
                <w:rFonts w:cs="Calibri"/>
                <w:sz w:val="20"/>
                <w:szCs w:val="20"/>
              </w:rPr>
              <w:t xml:space="preserve"> knowledge component(s)</w:t>
            </w:r>
          </w:p>
        </w:tc>
      </w:tr>
      <w:tr w:rsidR="0097059D" w:rsidRPr="00AC3DDC" w14:paraId="0FFC1B22" w14:textId="77777777" w:rsidTr="0097059D">
        <w:trPr>
          <w:cantSplit/>
          <w:jc w:val="center"/>
        </w:trPr>
        <w:tc>
          <w:tcPr>
            <w:tcW w:w="564" w:type="dxa"/>
            <w:shd w:val="clear" w:color="auto" w:fill="FFFFCC"/>
            <w:vAlign w:val="center"/>
          </w:tcPr>
          <w:p w14:paraId="5686D8C2"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0E3668AA"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Reference</w:t>
            </w:r>
          </w:p>
        </w:tc>
        <w:tc>
          <w:tcPr>
            <w:tcW w:w="5438" w:type="dxa"/>
            <w:shd w:val="clear" w:color="auto" w:fill="FFFFCC"/>
            <w:vAlign w:val="center"/>
          </w:tcPr>
          <w:p w14:paraId="585A019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Specific citation relevant to this imperative recommendation</w:t>
            </w:r>
          </w:p>
        </w:tc>
      </w:tr>
      <w:tr w:rsidR="0097059D" w:rsidRPr="00AC3DDC" w14:paraId="4D6D2D1D" w14:textId="77777777" w:rsidTr="0097059D">
        <w:trPr>
          <w:cantSplit/>
          <w:jc w:val="center"/>
        </w:trPr>
        <w:tc>
          <w:tcPr>
            <w:tcW w:w="564" w:type="dxa"/>
            <w:shd w:val="clear" w:color="auto" w:fill="FFFFCC"/>
            <w:vAlign w:val="center"/>
          </w:tcPr>
          <w:p w14:paraId="55A9A4F1"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6829973A"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Certainty</w:t>
            </w:r>
          </w:p>
        </w:tc>
        <w:tc>
          <w:tcPr>
            <w:tcW w:w="5438" w:type="dxa"/>
            <w:shd w:val="clear" w:color="auto" w:fill="FFFFCC"/>
            <w:vAlign w:val="center"/>
          </w:tcPr>
          <w:p w14:paraId="1E9B789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Indication of the likelihood that this recommendation will lead to specified outcomes</w:t>
            </w:r>
          </w:p>
        </w:tc>
      </w:tr>
      <w:tr w:rsidR="0097059D" w:rsidRPr="00AC3DDC" w14:paraId="2AE85D5D" w14:textId="77777777" w:rsidTr="0097059D">
        <w:trPr>
          <w:cantSplit/>
          <w:jc w:val="center"/>
        </w:trPr>
        <w:tc>
          <w:tcPr>
            <w:tcW w:w="564" w:type="dxa"/>
            <w:shd w:val="clear" w:color="auto" w:fill="FFFFCC"/>
            <w:vAlign w:val="center"/>
          </w:tcPr>
          <w:p w14:paraId="70689496"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771943A3"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Goal</w:t>
            </w:r>
          </w:p>
        </w:tc>
        <w:tc>
          <w:tcPr>
            <w:tcW w:w="5438" w:type="dxa"/>
            <w:shd w:val="clear" w:color="auto" w:fill="FFFFCC"/>
            <w:vAlign w:val="center"/>
          </w:tcPr>
          <w:p w14:paraId="1F44BBE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The state that a recommendation is intended to achieve, maintain, or avoid</w:t>
            </w:r>
          </w:p>
        </w:tc>
      </w:tr>
      <w:tr w:rsidR="0097059D" w:rsidRPr="00AC3DDC" w14:paraId="45156C19" w14:textId="77777777" w:rsidTr="0097059D">
        <w:trPr>
          <w:cantSplit/>
          <w:jc w:val="center"/>
        </w:trPr>
        <w:tc>
          <w:tcPr>
            <w:tcW w:w="564" w:type="dxa"/>
            <w:shd w:val="clear" w:color="auto" w:fill="FFFFCC"/>
            <w:vAlign w:val="center"/>
          </w:tcPr>
          <w:p w14:paraId="2F527C39"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A745C7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Definition</w:t>
            </w:r>
          </w:p>
        </w:tc>
        <w:tc>
          <w:tcPr>
            <w:tcW w:w="5438" w:type="dxa"/>
            <w:shd w:val="clear" w:color="auto" w:fill="FFFFCC"/>
            <w:vAlign w:val="center"/>
          </w:tcPr>
          <w:p w14:paraId="2D0C1F3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Concise description of terminology relevant to the guideline</w:t>
            </w:r>
          </w:p>
        </w:tc>
      </w:tr>
      <w:tr w:rsidR="0097059D" w:rsidRPr="00AC3DDC" w14:paraId="7BA69C85" w14:textId="77777777" w:rsidTr="0097059D">
        <w:trPr>
          <w:cantSplit/>
          <w:jc w:val="center"/>
        </w:trPr>
        <w:tc>
          <w:tcPr>
            <w:tcW w:w="564" w:type="dxa"/>
            <w:shd w:val="clear" w:color="auto" w:fill="FFFFCC"/>
            <w:vAlign w:val="center"/>
          </w:tcPr>
          <w:p w14:paraId="61E0D7FE"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09CB0E1C"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Term</w:t>
            </w:r>
          </w:p>
        </w:tc>
        <w:tc>
          <w:tcPr>
            <w:tcW w:w="5438" w:type="dxa"/>
            <w:shd w:val="clear" w:color="auto" w:fill="FFFFCC"/>
            <w:vAlign w:val="center"/>
          </w:tcPr>
          <w:p w14:paraId="4DE8EBB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word or phrase defined in the guideline</w:t>
            </w:r>
          </w:p>
        </w:tc>
      </w:tr>
      <w:tr w:rsidR="0097059D" w:rsidRPr="00AC3DDC" w14:paraId="0A992A9E" w14:textId="77777777" w:rsidTr="0097059D">
        <w:trPr>
          <w:cantSplit/>
          <w:jc w:val="center"/>
        </w:trPr>
        <w:tc>
          <w:tcPr>
            <w:tcW w:w="564" w:type="dxa"/>
            <w:shd w:val="clear" w:color="auto" w:fill="FFFFCC"/>
            <w:vAlign w:val="center"/>
          </w:tcPr>
          <w:p w14:paraId="41CF9580" w14:textId="77777777" w:rsidR="005A6323" w:rsidRPr="00AC3DDC" w:rsidRDefault="005A6323" w:rsidP="0097059D">
            <w:pPr>
              <w:spacing w:before="80" w:after="20" w:line="240" w:lineRule="auto"/>
              <w:jc w:val="center"/>
              <w:rPr>
                <w:rFonts w:cs="Calibri"/>
                <w:b/>
                <w:sz w:val="24"/>
                <w:szCs w:val="24"/>
              </w:rPr>
            </w:pPr>
            <w:r w:rsidRPr="00AC3DDC">
              <w:rPr>
                <w:rFonts w:cs="Calibri"/>
                <w:b/>
                <w:sz w:val="24"/>
                <w:szCs w:val="24"/>
              </w:rPr>
              <w:sym w:font="Wingdings 2" w:char="F050"/>
            </w:r>
          </w:p>
        </w:tc>
        <w:tc>
          <w:tcPr>
            <w:tcW w:w="3574" w:type="dxa"/>
            <w:shd w:val="clear" w:color="auto" w:fill="FFFFCC"/>
            <w:vAlign w:val="center"/>
          </w:tcPr>
          <w:p w14:paraId="53A71AA7" w14:textId="77777777" w:rsidR="005A6323" w:rsidRPr="00AC3DDC" w:rsidRDefault="005A6323" w:rsidP="005A6323">
            <w:pPr>
              <w:numPr>
                <w:ilvl w:val="2"/>
                <w:numId w:val="2"/>
              </w:numPr>
              <w:spacing w:before="20" w:afterLines="20" w:after="48" w:line="240" w:lineRule="auto"/>
              <w:ind w:left="990"/>
              <w:rPr>
                <w:rFonts w:cs="Calibri"/>
                <w:sz w:val="20"/>
                <w:szCs w:val="20"/>
              </w:rPr>
            </w:pPr>
            <w:r w:rsidRPr="00AC3DDC">
              <w:rPr>
                <w:rFonts w:cs="Calibri"/>
                <w:sz w:val="20"/>
                <w:szCs w:val="20"/>
              </w:rPr>
              <w:t>Term Meaning</w:t>
            </w:r>
          </w:p>
        </w:tc>
        <w:tc>
          <w:tcPr>
            <w:tcW w:w="5438" w:type="dxa"/>
            <w:shd w:val="clear" w:color="auto" w:fill="FFFFCC"/>
            <w:vAlign w:val="center"/>
          </w:tcPr>
          <w:p w14:paraId="4CB659A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Precise meaning of words and phrases that may be unfamiliar to guideline readers; terms are defined as used in this guideline context</w:t>
            </w:r>
          </w:p>
        </w:tc>
      </w:tr>
      <w:tr w:rsidR="0097059D" w:rsidRPr="00AC3DDC" w14:paraId="3B0CA378" w14:textId="77777777" w:rsidTr="0097059D">
        <w:trPr>
          <w:cantSplit/>
          <w:jc w:val="center"/>
        </w:trPr>
        <w:tc>
          <w:tcPr>
            <w:tcW w:w="564" w:type="dxa"/>
            <w:shd w:val="clear" w:color="auto" w:fill="FFFFCC"/>
            <w:vAlign w:val="center"/>
          </w:tcPr>
          <w:p w14:paraId="31049A8F"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18AA2B6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Algorithm</w:t>
            </w:r>
          </w:p>
        </w:tc>
        <w:tc>
          <w:tcPr>
            <w:tcW w:w="5438" w:type="dxa"/>
            <w:shd w:val="clear" w:color="auto" w:fill="FFFFCC"/>
            <w:vAlign w:val="center"/>
          </w:tcPr>
          <w:p w14:paraId="534FE4E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flowchart representation of the stages and activities in health management described by the guideline</w:t>
            </w:r>
          </w:p>
        </w:tc>
      </w:tr>
      <w:tr w:rsidR="0097059D" w:rsidRPr="00AC3DDC" w14:paraId="11CB8F31" w14:textId="77777777" w:rsidTr="0097059D">
        <w:trPr>
          <w:cantSplit/>
          <w:jc w:val="center"/>
        </w:trPr>
        <w:tc>
          <w:tcPr>
            <w:tcW w:w="564" w:type="dxa"/>
            <w:shd w:val="clear" w:color="auto" w:fill="FFFFCC"/>
            <w:vAlign w:val="center"/>
          </w:tcPr>
          <w:p w14:paraId="6EE8059D"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562C3BC4"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Action Step</w:t>
            </w:r>
          </w:p>
        </w:tc>
        <w:tc>
          <w:tcPr>
            <w:tcW w:w="5438" w:type="dxa"/>
            <w:shd w:val="clear" w:color="auto" w:fill="FFFFCC"/>
            <w:vAlign w:val="center"/>
          </w:tcPr>
          <w:p w14:paraId="79FD9F0C"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Specifies clinical actions that are to be performed in the patient-care process (GLIF)</w:t>
            </w:r>
          </w:p>
        </w:tc>
      </w:tr>
      <w:tr w:rsidR="0097059D" w:rsidRPr="00AC3DDC" w14:paraId="2DBBDED3" w14:textId="77777777" w:rsidTr="0097059D">
        <w:trPr>
          <w:cantSplit/>
          <w:jc w:val="center"/>
        </w:trPr>
        <w:tc>
          <w:tcPr>
            <w:tcW w:w="564" w:type="dxa"/>
            <w:shd w:val="clear" w:color="auto" w:fill="FFFFCC"/>
            <w:vAlign w:val="center"/>
          </w:tcPr>
          <w:p w14:paraId="4940F9C8"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5CBB4339"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Conditional Step</w:t>
            </w:r>
          </w:p>
        </w:tc>
        <w:tc>
          <w:tcPr>
            <w:tcW w:w="5438" w:type="dxa"/>
            <w:shd w:val="clear" w:color="auto" w:fill="FFFFCC"/>
            <w:vAlign w:val="center"/>
          </w:tcPr>
          <w:p w14:paraId="170ECC2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Directs flow from one guideline step to another based on the evaluation of a criterion (GLIF)</w:t>
            </w:r>
          </w:p>
        </w:tc>
      </w:tr>
      <w:tr w:rsidR="0097059D" w:rsidRPr="00AC3DDC" w14:paraId="55906AD8" w14:textId="77777777" w:rsidTr="0097059D">
        <w:trPr>
          <w:cantSplit/>
          <w:jc w:val="center"/>
        </w:trPr>
        <w:tc>
          <w:tcPr>
            <w:tcW w:w="564" w:type="dxa"/>
            <w:shd w:val="clear" w:color="auto" w:fill="FFFFCC"/>
            <w:vAlign w:val="center"/>
          </w:tcPr>
          <w:p w14:paraId="1B5FFD87"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4C8DD259"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Branch Step</w:t>
            </w:r>
          </w:p>
        </w:tc>
        <w:tc>
          <w:tcPr>
            <w:tcW w:w="5438" w:type="dxa"/>
            <w:shd w:val="clear" w:color="auto" w:fill="FFFFCC"/>
            <w:vAlign w:val="center"/>
          </w:tcPr>
          <w:p w14:paraId="77CB83E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Directs flow in alternate directions (GLIF)</w:t>
            </w:r>
          </w:p>
        </w:tc>
      </w:tr>
      <w:tr w:rsidR="0097059D" w:rsidRPr="00AC3DDC" w14:paraId="2C4A5994" w14:textId="77777777" w:rsidTr="0097059D">
        <w:trPr>
          <w:cantSplit/>
          <w:jc w:val="center"/>
        </w:trPr>
        <w:tc>
          <w:tcPr>
            <w:tcW w:w="564" w:type="dxa"/>
            <w:shd w:val="clear" w:color="auto" w:fill="FFFFCC"/>
            <w:vAlign w:val="center"/>
          </w:tcPr>
          <w:p w14:paraId="205FBB36"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139DB8D2" w14:textId="77777777" w:rsidR="005A6323" w:rsidRPr="00AC3DDC" w:rsidRDefault="005A6323" w:rsidP="005A6323">
            <w:pPr>
              <w:numPr>
                <w:ilvl w:val="0"/>
                <w:numId w:val="2"/>
              </w:numPr>
              <w:spacing w:before="20" w:afterLines="20" w:after="48" w:line="240" w:lineRule="auto"/>
              <w:ind w:left="450" w:hanging="270"/>
              <w:rPr>
                <w:rFonts w:cs="Calibri"/>
                <w:sz w:val="20"/>
                <w:szCs w:val="20"/>
              </w:rPr>
            </w:pPr>
            <w:r w:rsidRPr="00AC3DDC">
              <w:rPr>
                <w:rFonts w:cs="Calibri"/>
                <w:sz w:val="20"/>
                <w:szCs w:val="20"/>
              </w:rPr>
              <w:t>Synchronization Step</w:t>
            </w:r>
          </w:p>
        </w:tc>
        <w:tc>
          <w:tcPr>
            <w:tcW w:w="5438" w:type="dxa"/>
            <w:shd w:val="clear" w:color="auto" w:fill="FFFFCC"/>
            <w:vAlign w:val="center"/>
          </w:tcPr>
          <w:p w14:paraId="24C81E97"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Synchronization Step represents a convergence of other steps (GLIF)</w:t>
            </w:r>
          </w:p>
        </w:tc>
      </w:tr>
      <w:tr w:rsidR="0097059D" w:rsidRPr="00AC3DDC" w14:paraId="5F84F1F6" w14:textId="77777777" w:rsidTr="0097059D">
        <w:trPr>
          <w:cantSplit/>
          <w:jc w:val="center"/>
        </w:trPr>
        <w:tc>
          <w:tcPr>
            <w:tcW w:w="564" w:type="dxa"/>
            <w:shd w:val="clear" w:color="auto" w:fill="FFFFCC"/>
            <w:vAlign w:val="center"/>
          </w:tcPr>
          <w:p w14:paraId="3B5B4A9F" w14:textId="77777777" w:rsidR="005A6323" w:rsidRPr="00AC3DDC" w:rsidRDefault="005A6323" w:rsidP="0097059D">
            <w:pPr>
              <w:spacing w:before="20" w:afterLines="20" w:after="48" w:line="240" w:lineRule="auto"/>
              <w:jc w:val="center"/>
              <w:rPr>
                <w:rFonts w:cs="Calibri"/>
              </w:rPr>
            </w:pPr>
          </w:p>
        </w:tc>
        <w:tc>
          <w:tcPr>
            <w:tcW w:w="3574" w:type="dxa"/>
            <w:shd w:val="clear" w:color="auto" w:fill="FFFFCC"/>
            <w:vAlign w:val="center"/>
          </w:tcPr>
          <w:p w14:paraId="384A970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Research Agenda</w:t>
            </w:r>
          </w:p>
        </w:tc>
        <w:tc>
          <w:tcPr>
            <w:tcW w:w="5438" w:type="dxa"/>
            <w:shd w:val="clear" w:color="auto" w:fill="FFFFCC"/>
            <w:vAlign w:val="center"/>
          </w:tcPr>
          <w:p w14:paraId="20906BD1"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Proposal for further scientific investigation to correct identified deficiencies in the evidence base for this guideline topic</w:t>
            </w:r>
          </w:p>
        </w:tc>
      </w:tr>
      <w:tr w:rsidR="0097059D" w:rsidRPr="00AC3DDC" w14:paraId="2BD07D94" w14:textId="77777777" w:rsidTr="0097059D">
        <w:trPr>
          <w:cantSplit/>
          <w:jc w:val="center"/>
        </w:trPr>
        <w:tc>
          <w:tcPr>
            <w:tcW w:w="564" w:type="dxa"/>
            <w:tcBorders>
              <w:bottom w:val="single" w:sz="4" w:space="0" w:color="auto"/>
            </w:tcBorders>
            <w:shd w:val="clear" w:color="auto" w:fill="FFFFCC"/>
            <w:vAlign w:val="center"/>
          </w:tcPr>
          <w:p w14:paraId="0A435DAF" w14:textId="77777777" w:rsidR="005A6323" w:rsidRPr="00AC3DDC" w:rsidRDefault="005A6323" w:rsidP="0097059D">
            <w:pPr>
              <w:spacing w:before="20" w:afterLines="20" w:after="48" w:line="240" w:lineRule="auto"/>
              <w:jc w:val="center"/>
              <w:rPr>
                <w:rFonts w:cs="Calibri"/>
              </w:rPr>
            </w:pPr>
          </w:p>
        </w:tc>
        <w:tc>
          <w:tcPr>
            <w:tcW w:w="3574" w:type="dxa"/>
            <w:tcBorders>
              <w:bottom w:val="single" w:sz="4" w:space="0" w:color="auto"/>
            </w:tcBorders>
            <w:shd w:val="clear" w:color="auto" w:fill="FFFFCC"/>
            <w:vAlign w:val="center"/>
          </w:tcPr>
          <w:p w14:paraId="556DCAF4"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Background Information</w:t>
            </w:r>
          </w:p>
        </w:tc>
        <w:tc>
          <w:tcPr>
            <w:tcW w:w="5438" w:type="dxa"/>
            <w:tcBorders>
              <w:bottom w:val="single" w:sz="4" w:space="0" w:color="auto"/>
            </w:tcBorders>
            <w:shd w:val="clear" w:color="auto" w:fill="FFFFCC"/>
            <w:vAlign w:val="center"/>
          </w:tcPr>
          <w:p w14:paraId="700FDE4F"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Information relevant to the guideline’s topic but not related to other Knowledge Components</w:t>
            </w:r>
          </w:p>
        </w:tc>
      </w:tr>
      <w:tr w:rsidR="0097059D" w:rsidRPr="00AC3DDC" w14:paraId="3C8FE243" w14:textId="77777777" w:rsidTr="0097059D">
        <w:trPr>
          <w:cantSplit/>
          <w:trHeight w:val="432"/>
          <w:jc w:val="center"/>
        </w:trPr>
        <w:tc>
          <w:tcPr>
            <w:tcW w:w="9576" w:type="dxa"/>
            <w:gridSpan w:val="3"/>
            <w:tcBorders>
              <w:bottom w:val="single" w:sz="4" w:space="0" w:color="auto"/>
            </w:tcBorders>
            <w:shd w:val="clear" w:color="auto" w:fill="D9D9D9"/>
            <w:vAlign w:val="center"/>
          </w:tcPr>
          <w:p w14:paraId="786E5A6C" w14:textId="77777777" w:rsidR="005A6323" w:rsidRPr="00AC3DDC" w:rsidRDefault="005A6323" w:rsidP="00E44DD0">
            <w:pPr>
              <w:spacing w:before="20" w:afterLines="20" w:after="48" w:line="240" w:lineRule="auto"/>
              <w:rPr>
                <w:rFonts w:cs="Calibri"/>
                <w:b/>
              </w:rPr>
            </w:pPr>
            <w:r w:rsidRPr="00AC3DDC">
              <w:rPr>
                <w:rFonts w:cs="Calibri"/>
                <w:b/>
              </w:rPr>
              <w:t>Testing</w:t>
            </w:r>
          </w:p>
        </w:tc>
      </w:tr>
      <w:tr w:rsidR="0097059D" w:rsidRPr="00AC3DDC" w14:paraId="2B070C58" w14:textId="77777777" w:rsidTr="0097059D">
        <w:trPr>
          <w:cantSplit/>
          <w:jc w:val="center"/>
        </w:trPr>
        <w:tc>
          <w:tcPr>
            <w:tcW w:w="564" w:type="dxa"/>
            <w:shd w:val="clear" w:color="auto" w:fill="F2F2F2"/>
          </w:tcPr>
          <w:p w14:paraId="76E7F615" w14:textId="77777777" w:rsidR="005A6323" w:rsidRPr="00AC3DDC" w:rsidRDefault="005A6323" w:rsidP="00E44DD0">
            <w:pPr>
              <w:spacing w:before="20" w:afterLines="20" w:after="48" w:line="240" w:lineRule="auto"/>
              <w:rPr>
                <w:rFonts w:cs="Calibri"/>
              </w:rPr>
            </w:pPr>
          </w:p>
        </w:tc>
        <w:tc>
          <w:tcPr>
            <w:tcW w:w="3574" w:type="dxa"/>
            <w:shd w:val="clear" w:color="auto" w:fill="F2F2F2"/>
            <w:vAlign w:val="center"/>
          </w:tcPr>
          <w:p w14:paraId="3BD88A5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External Review</w:t>
            </w:r>
          </w:p>
        </w:tc>
        <w:tc>
          <w:tcPr>
            <w:tcW w:w="5438" w:type="dxa"/>
            <w:shd w:val="clear" w:color="auto" w:fill="F2F2F2"/>
            <w:vAlign w:val="center"/>
          </w:tcPr>
          <w:p w14:paraId="7D4068F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Methods of eliciting peer review comments and vetting guideline draft</w:t>
            </w:r>
          </w:p>
        </w:tc>
      </w:tr>
      <w:tr w:rsidR="0097059D" w:rsidRPr="00AC3DDC" w14:paraId="14306BB5" w14:textId="77777777" w:rsidTr="0097059D">
        <w:trPr>
          <w:cantSplit/>
          <w:jc w:val="center"/>
        </w:trPr>
        <w:tc>
          <w:tcPr>
            <w:tcW w:w="564" w:type="dxa"/>
            <w:shd w:val="clear" w:color="auto" w:fill="F2F2F2"/>
          </w:tcPr>
          <w:p w14:paraId="48714C55" w14:textId="77777777" w:rsidR="005A6323" w:rsidRPr="00AC3DDC" w:rsidRDefault="005A6323" w:rsidP="00E44DD0">
            <w:pPr>
              <w:spacing w:before="20" w:afterLines="20" w:after="48" w:line="240" w:lineRule="auto"/>
              <w:rPr>
                <w:rFonts w:cs="Calibri"/>
              </w:rPr>
            </w:pPr>
          </w:p>
        </w:tc>
        <w:tc>
          <w:tcPr>
            <w:tcW w:w="3574" w:type="dxa"/>
            <w:shd w:val="clear" w:color="auto" w:fill="F2F2F2"/>
            <w:vAlign w:val="center"/>
          </w:tcPr>
          <w:p w14:paraId="3D8A33D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Pilot Testing</w:t>
            </w:r>
          </w:p>
        </w:tc>
        <w:tc>
          <w:tcPr>
            <w:tcW w:w="5438" w:type="dxa"/>
            <w:shd w:val="clear" w:color="auto" w:fill="F2F2F2"/>
            <w:vAlign w:val="center"/>
          </w:tcPr>
          <w:p w14:paraId="79F3AC9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Preliminary validation testing</w:t>
            </w:r>
          </w:p>
        </w:tc>
      </w:tr>
      <w:tr w:rsidR="0097059D" w:rsidRPr="00AC3DDC" w14:paraId="2756BE88" w14:textId="77777777" w:rsidTr="0097059D">
        <w:trPr>
          <w:cantSplit/>
          <w:jc w:val="center"/>
        </w:trPr>
        <w:tc>
          <w:tcPr>
            <w:tcW w:w="564" w:type="dxa"/>
            <w:tcBorders>
              <w:bottom w:val="single" w:sz="4" w:space="0" w:color="auto"/>
            </w:tcBorders>
            <w:shd w:val="clear" w:color="auto" w:fill="F2F2F2"/>
          </w:tcPr>
          <w:p w14:paraId="20A0AC3D" w14:textId="77777777" w:rsidR="005A6323" w:rsidRPr="00AC3DDC" w:rsidRDefault="005A6323" w:rsidP="00E44DD0">
            <w:pPr>
              <w:spacing w:before="20" w:afterLines="20" w:after="48" w:line="240" w:lineRule="auto"/>
              <w:rPr>
                <w:rFonts w:cs="Calibri"/>
              </w:rPr>
            </w:pPr>
          </w:p>
        </w:tc>
        <w:tc>
          <w:tcPr>
            <w:tcW w:w="3574" w:type="dxa"/>
            <w:tcBorders>
              <w:bottom w:val="single" w:sz="4" w:space="0" w:color="auto"/>
            </w:tcBorders>
            <w:shd w:val="clear" w:color="auto" w:fill="F2F2F2"/>
            <w:vAlign w:val="center"/>
          </w:tcPr>
          <w:p w14:paraId="4EFC5D73"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Formal Appraisal</w:t>
            </w:r>
          </w:p>
        </w:tc>
        <w:tc>
          <w:tcPr>
            <w:tcW w:w="5438" w:type="dxa"/>
            <w:tcBorders>
              <w:bottom w:val="single" w:sz="4" w:space="0" w:color="auto"/>
            </w:tcBorders>
            <w:shd w:val="clear" w:color="auto" w:fill="F2F2F2"/>
            <w:vAlign w:val="center"/>
          </w:tcPr>
          <w:p w14:paraId="4299F4F2"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Evaluation of the guideline draft to appraise its validity and usability (e.g., COGS), quality (e.g., AGREE) and implementability (e.g., GLIA)</w:t>
            </w:r>
          </w:p>
        </w:tc>
      </w:tr>
      <w:tr w:rsidR="0097059D" w:rsidRPr="00AC3DDC" w14:paraId="1429611D" w14:textId="77777777" w:rsidTr="0097059D">
        <w:trPr>
          <w:cantSplit/>
          <w:trHeight w:val="432"/>
          <w:jc w:val="center"/>
        </w:trPr>
        <w:tc>
          <w:tcPr>
            <w:tcW w:w="9576" w:type="dxa"/>
            <w:gridSpan w:val="3"/>
            <w:tcBorders>
              <w:bottom w:val="single" w:sz="4" w:space="0" w:color="auto"/>
            </w:tcBorders>
            <w:shd w:val="clear" w:color="auto" w:fill="FF99FF"/>
            <w:vAlign w:val="center"/>
          </w:tcPr>
          <w:p w14:paraId="45D84059" w14:textId="77777777" w:rsidR="005A6323" w:rsidRPr="00AC3DDC" w:rsidRDefault="005A6323" w:rsidP="00E44DD0">
            <w:pPr>
              <w:spacing w:before="20" w:afterLines="20" w:after="48" w:line="240" w:lineRule="auto"/>
              <w:rPr>
                <w:rFonts w:cs="Calibri"/>
                <w:b/>
              </w:rPr>
            </w:pPr>
            <w:r w:rsidRPr="00AC3DDC">
              <w:rPr>
                <w:rFonts w:cs="Calibri"/>
                <w:b/>
              </w:rPr>
              <w:t>Revision Plan</w:t>
            </w:r>
          </w:p>
        </w:tc>
      </w:tr>
      <w:tr w:rsidR="0097059D" w:rsidRPr="00AC3DDC" w14:paraId="49817D74" w14:textId="77777777" w:rsidTr="0097059D">
        <w:trPr>
          <w:cantSplit/>
          <w:jc w:val="center"/>
        </w:trPr>
        <w:tc>
          <w:tcPr>
            <w:tcW w:w="564" w:type="dxa"/>
            <w:shd w:val="clear" w:color="auto" w:fill="FFCCFF"/>
          </w:tcPr>
          <w:p w14:paraId="127F53A7" w14:textId="77777777" w:rsidR="005A6323" w:rsidRPr="00AC3DDC" w:rsidRDefault="005A6323" w:rsidP="00E44DD0">
            <w:pPr>
              <w:spacing w:before="20" w:afterLines="20" w:after="48" w:line="240" w:lineRule="auto"/>
              <w:rPr>
                <w:rFonts w:cs="Calibri"/>
              </w:rPr>
            </w:pPr>
          </w:p>
        </w:tc>
        <w:tc>
          <w:tcPr>
            <w:tcW w:w="3574" w:type="dxa"/>
            <w:shd w:val="clear" w:color="auto" w:fill="FFCCFF"/>
            <w:vAlign w:val="center"/>
          </w:tcPr>
          <w:p w14:paraId="39B8F766"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Expiration</w:t>
            </w:r>
          </w:p>
        </w:tc>
        <w:tc>
          <w:tcPr>
            <w:tcW w:w="5438" w:type="dxa"/>
            <w:shd w:val="clear" w:color="auto" w:fill="FFCCFF"/>
            <w:vAlign w:val="center"/>
          </w:tcPr>
          <w:p w14:paraId="07F7D3B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Time (or date) that recommendations cease to be valid</w:t>
            </w:r>
          </w:p>
        </w:tc>
      </w:tr>
      <w:tr w:rsidR="0097059D" w:rsidRPr="00AC3DDC" w14:paraId="451B02BC" w14:textId="77777777" w:rsidTr="0097059D">
        <w:trPr>
          <w:cantSplit/>
          <w:jc w:val="center"/>
        </w:trPr>
        <w:tc>
          <w:tcPr>
            <w:tcW w:w="564" w:type="dxa"/>
            <w:tcBorders>
              <w:bottom w:val="single" w:sz="4" w:space="0" w:color="auto"/>
            </w:tcBorders>
            <w:shd w:val="clear" w:color="auto" w:fill="FFCCFF"/>
          </w:tcPr>
          <w:p w14:paraId="07B6958C" w14:textId="77777777" w:rsidR="005A6323" w:rsidRPr="00AC3DDC" w:rsidRDefault="005A6323" w:rsidP="00E44DD0">
            <w:pPr>
              <w:spacing w:before="20" w:afterLines="20" w:after="48" w:line="240" w:lineRule="auto"/>
              <w:rPr>
                <w:rFonts w:cs="Calibri"/>
              </w:rPr>
            </w:pPr>
          </w:p>
        </w:tc>
        <w:tc>
          <w:tcPr>
            <w:tcW w:w="3574" w:type="dxa"/>
            <w:tcBorders>
              <w:bottom w:val="single" w:sz="4" w:space="0" w:color="auto"/>
            </w:tcBorders>
            <w:shd w:val="clear" w:color="auto" w:fill="FFCCFF"/>
            <w:vAlign w:val="center"/>
          </w:tcPr>
          <w:p w14:paraId="0293DD80"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Scheduled Review</w:t>
            </w:r>
          </w:p>
        </w:tc>
        <w:tc>
          <w:tcPr>
            <w:tcW w:w="5438" w:type="dxa"/>
            <w:tcBorders>
              <w:bottom w:val="single" w:sz="4" w:space="0" w:color="auto"/>
            </w:tcBorders>
            <w:shd w:val="clear" w:color="auto" w:fill="FFCCFF"/>
            <w:vAlign w:val="center"/>
          </w:tcPr>
          <w:p w14:paraId="7DA52F7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Future time (or date) planned to review continued appropriateness of recommendations</w:t>
            </w:r>
          </w:p>
        </w:tc>
      </w:tr>
      <w:tr w:rsidR="0097059D" w:rsidRPr="00AC3DDC" w14:paraId="416086D1" w14:textId="77777777" w:rsidTr="0097059D">
        <w:trPr>
          <w:cantSplit/>
          <w:trHeight w:val="432"/>
          <w:jc w:val="center"/>
        </w:trPr>
        <w:tc>
          <w:tcPr>
            <w:tcW w:w="9576" w:type="dxa"/>
            <w:gridSpan w:val="3"/>
            <w:tcBorders>
              <w:bottom w:val="single" w:sz="4" w:space="0" w:color="auto"/>
            </w:tcBorders>
            <w:shd w:val="clear" w:color="auto" w:fill="66FFFF"/>
            <w:vAlign w:val="center"/>
          </w:tcPr>
          <w:p w14:paraId="3844C5AE" w14:textId="77777777" w:rsidR="005A6323" w:rsidRPr="00AC3DDC" w:rsidRDefault="005A6323" w:rsidP="00E44DD0">
            <w:pPr>
              <w:spacing w:before="20" w:afterLines="20" w:after="48" w:line="240" w:lineRule="auto"/>
              <w:rPr>
                <w:rFonts w:cs="Calibri"/>
                <w:b/>
              </w:rPr>
            </w:pPr>
            <w:r w:rsidRPr="00AC3DDC">
              <w:rPr>
                <w:rFonts w:cs="Calibri"/>
                <w:b/>
              </w:rPr>
              <w:t>Implementation Plan</w:t>
            </w:r>
          </w:p>
        </w:tc>
      </w:tr>
      <w:tr w:rsidR="0097059D" w:rsidRPr="00AC3DDC" w14:paraId="5A74E07B" w14:textId="77777777" w:rsidTr="0097059D">
        <w:trPr>
          <w:cantSplit/>
          <w:jc w:val="center"/>
        </w:trPr>
        <w:tc>
          <w:tcPr>
            <w:tcW w:w="564" w:type="dxa"/>
            <w:shd w:val="clear" w:color="auto" w:fill="DAEEF3"/>
          </w:tcPr>
          <w:p w14:paraId="2F20DB44" w14:textId="77777777" w:rsidR="005A6323" w:rsidRPr="00AC3DDC" w:rsidRDefault="005A6323" w:rsidP="00E44DD0">
            <w:pPr>
              <w:spacing w:before="20" w:afterLines="20" w:after="48" w:line="240" w:lineRule="auto"/>
              <w:rPr>
                <w:rFonts w:cs="Calibri"/>
              </w:rPr>
            </w:pPr>
          </w:p>
        </w:tc>
        <w:tc>
          <w:tcPr>
            <w:tcW w:w="3574" w:type="dxa"/>
            <w:shd w:val="clear" w:color="auto" w:fill="CCFFFF"/>
            <w:vAlign w:val="center"/>
          </w:tcPr>
          <w:p w14:paraId="1A88834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Implementation Strategy</w:t>
            </w:r>
          </w:p>
        </w:tc>
        <w:tc>
          <w:tcPr>
            <w:tcW w:w="5438" w:type="dxa"/>
            <w:shd w:val="clear" w:color="auto" w:fill="CCFFFF"/>
            <w:vAlign w:val="center"/>
          </w:tcPr>
          <w:p w14:paraId="0221819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Specific plans for implementing the recommendations</w:t>
            </w:r>
          </w:p>
        </w:tc>
      </w:tr>
      <w:tr w:rsidR="0097059D" w:rsidRPr="00AC3DDC" w14:paraId="3C800561" w14:textId="77777777" w:rsidTr="0097059D">
        <w:trPr>
          <w:cantSplit/>
          <w:jc w:val="center"/>
        </w:trPr>
        <w:tc>
          <w:tcPr>
            <w:tcW w:w="564" w:type="dxa"/>
            <w:shd w:val="clear" w:color="auto" w:fill="DAEEF3"/>
          </w:tcPr>
          <w:p w14:paraId="50D4C718" w14:textId="77777777" w:rsidR="005A6323" w:rsidRPr="00AC3DDC" w:rsidRDefault="005A6323" w:rsidP="00E44DD0">
            <w:pPr>
              <w:spacing w:before="20" w:afterLines="20" w:after="48" w:line="240" w:lineRule="auto"/>
              <w:rPr>
                <w:rFonts w:cs="Calibri"/>
              </w:rPr>
            </w:pPr>
          </w:p>
        </w:tc>
        <w:tc>
          <w:tcPr>
            <w:tcW w:w="3574" w:type="dxa"/>
            <w:shd w:val="clear" w:color="auto" w:fill="CCFFFF"/>
            <w:vAlign w:val="center"/>
          </w:tcPr>
          <w:p w14:paraId="0DE6D098"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Anticipated Barrier</w:t>
            </w:r>
          </w:p>
        </w:tc>
        <w:tc>
          <w:tcPr>
            <w:tcW w:w="5438" w:type="dxa"/>
            <w:shd w:val="clear" w:color="auto" w:fill="CCFFFF"/>
            <w:vAlign w:val="center"/>
          </w:tcPr>
          <w:p w14:paraId="6ADD07C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factor that might be expected to impede operationalization of the guideline</w:t>
            </w:r>
          </w:p>
        </w:tc>
      </w:tr>
      <w:tr w:rsidR="0097059D" w:rsidRPr="00AC3DDC" w14:paraId="128DB2A6" w14:textId="77777777" w:rsidTr="0097059D">
        <w:trPr>
          <w:cantSplit/>
          <w:jc w:val="center"/>
        </w:trPr>
        <w:tc>
          <w:tcPr>
            <w:tcW w:w="564" w:type="dxa"/>
            <w:shd w:val="clear" w:color="auto" w:fill="DAEEF3"/>
          </w:tcPr>
          <w:p w14:paraId="165B3AF9" w14:textId="77777777" w:rsidR="005A6323" w:rsidRPr="00AC3DDC" w:rsidRDefault="005A6323" w:rsidP="00E44DD0">
            <w:pPr>
              <w:spacing w:before="20" w:afterLines="20" w:after="48" w:line="240" w:lineRule="auto"/>
              <w:rPr>
                <w:rFonts w:cs="Calibri"/>
              </w:rPr>
            </w:pPr>
          </w:p>
        </w:tc>
        <w:tc>
          <w:tcPr>
            <w:tcW w:w="3574" w:type="dxa"/>
            <w:shd w:val="clear" w:color="auto" w:fill="CCFFFF"/>
            <w:vAlign w:val="center"/>
          </w:tcPr>
          <w:p w14:paraId="44F2290A"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Anticipated Enabler</w:t>
            </w:r>
          </w:p>
        </w:tc>
        <w:tc>
          <w:tcPr>
            <w:tcW w:w="5438" w:type="dxa"/>
            <w:shd w:val="clear" w:color="auto" w:fill="CCFFFF"/>
            <w:vAlign w:val="center"/>
          </w:tcPr>
          <w:p w14:paraId="191D4285"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A factor that might be expected to promote operationalization of the guideline</w:t>
            </w:r>
          </w:p>
        </w:tc>
      </w:tr>
      <w:tr w:rsidR="0097059D" w:rsidRPr="00AC3DDC" w14:paraId="0C1FC3FA" w14:textId="77777777" w:rsidTr="0097059D">
        <w:trPr>
          <w:cantSplit/>
          <w:jc w:val="center"/>
        </w:trPr>
        <w:tc>
          <w:tcPr>
            <w:tcW w:w="564" w:type="dxa"/>
            <w:shd w:val="clear" w:color="auto" w:fill="DAEEF3"/>
          </w:tcPr>
          <w:p w14:paraId="610B44F9" w14:textId="77777777" w:rsidR="005A6323" w:rsidRPr="00AC3DDC" w:rsidRDefault="005A6323" w:rsidP="00E44DD0">
            <w:pPr>
              <w:spacing w:before="20" w:afterLines="20" w:after="48" w:line="240" w:lineRule="auto"/>
              <w:rPr>
                <w:rFonts w:cs="Calibri"/>
              </w:rPr>
            </w:pPr>
          </w:p>
        </w:tc>
        <w:tc>
          <w:tcPr>
            <w:tcW w:w="3574" w:type="dxa"/>
            <w:shd w:val="clear" w:color="auto" w:fill="CCFFFF"/>
            <w:vAlign w:val="center"/>
          </w:tcPr>
          <w:p w14:paraId="0861E6EB"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Performance Measure</w:t>
            </w:r>
          </w:p>
        </w:tc>
        <w:tc>
          <w:tcPr>
            <w:tcW w:w="5438" w:type="dxa"/>
            <w:shd w:val="clear" w:color="auto" w:fill="CCFFFF"/>
            <w:vAlign w:val="center"/>
          </w:tcPr>
          <w:p w14:paraId="2EE46C69" w14:textId="77777777" w:rsidR="005A6323" w:rsidRPr="00AC3DDC" w:rsidRDefault="005A6323" w:rsidP="00E44DD0">
            <w:pPr>
              <w:spacing w:before="20" w:afterLines="20" w:after="48" w:line="240" w:lineRule="auto"/>
              <w:rPr>
                <w:rFonts w:cs="Calibri"/>
                <w:sz w:val="20"/>
                <w:szCs w:val="20"/>
              </w:rPr>
            </w:pPr>
            <w:r w:rsidRPr="00AC3DDC">
              <w:rPr>
                <w:rFonts w:cs="Calibri"/>
                <w:sz w:val="20"/>
                <w:szCs w:val="20"/>
              </w:rPr>
              <w:t>Guideline-derived tool to measure the quality of care they provide by defining specific, measurable elements</w:t>
            </w:r>
          </w:p>
        </w:tc>
      </w:tr>
    </w:tbl>
    <w:p w14:paraId="39ADFA67" w14:textId="77777777" w:rsidR="00472149" w:rsidRDefault="00EE5B9A" w:rsidP="007E3976">
      <w:r>
        <w:t xml:space="preserve"> </w:t>
      </w:r>
    </w:p>
    <w:p w14:paraId="626C1E2D" w14:textId="77777777" w:rsidR="001716B9" w:rsidRDefault="001716B9" w:rsidP="00D05AE0">
      <w:pPr>
        <w:spacing w:before="240" w:after="240"/>
        <w:rPr>
          <w:rStyle w:val="Heading1Char"/>
          <w:rFonts w:eastAsia="Calibri"/>
          <w:sz w:val="24"/>
          <w:szCs w:val="24"/>
        </w:rPr>
      </w:pPr>
    </w:p>
    <w:p w14:paraId="68CE9F9A" w14:textId="77777777" w:rsidR="001716B9" w:rsidRDefault="001716B9" w:rsidP="00D05AE0">
      <w:pPr>
        <w:spacing w:before="240" w:after="240"/>
        <w:rPr>
          <w:rStyle w:val="Heading1Char"/>
          <w:rFonts w:eastAsia="Calibri"/>
          <w:sz w:val="24"/>
          <w:szCs w:val="24"/>
        </w:rPr>
      </w:pPr>
    </w:p>
    <w:p w14:paraId="59CDCF6E" w14:textId="77777777" w:rsidR="001716B9" w:rsidRDefault="001716B9" w:rsidP="00D05AE0">
      <w:pPr>
        <w:spacing w:before="240" w:after="240"/>
        <w:rPr>
          <w:rStyle w:val="Heading1Char"/>
          <w:rFonts w:eastAsia="Calibri"/>
          <w:sz w:val="24"/>
          <w:szCs w:val="24"/>
        </w:rPr>
      </w:pPr>
    </w:p>
    <w:p w14:paraId="479B8BCC" w14:textId="77777777" w:rsidR="001716B9" w:rsidRDefault="001716B9" w:rsidP="00D05AE0">
      <w:pPr>
        <w:spacing w:before="240" w:after="240"/>
        <w:rPr>
          <w:rStyle w:val="Heading1Char"/>
          <w:rFonts w:eastAsia="Calibri"/>
          <w:sz w:val="24"/>
          <w:szCs w:val="24"/>
        </w:rPr>
      </w:pPr>
    </w:p>
    <w:p w14:paraId="354EECF9" w14:textId="77777777" w:rsidR="001716B9" w:rsidRDefault="001716B9" w:rsidP="00D05AE0">
      <w:pPr>
        <w:spacing w:before="240" w:after="240"/>
        <w:rPr>
          <w:rStyle w:val="Heading1Char"/>
          <w:rFonts w:eastAsia="Calibri"/>
          <w:sz w:val="24"/>
          <w:szCs w:val="24"/>
        </w:rPr>
      </w:pPr>
    </w:p>
    <w:p w14:paraId="2FE5DA75" w14:textId="77777777" w:rsidR="001716B9" w:rsidRDefault="001716B9" w:rsidP="00D05AE0">
      <w:pPr>
        <w:spacing w:before="240" w:after="240"/>
        <w:rPr>
          <w:rStyle w:val="Heading1Char"/>
          <w:rFonts w:eastAsia="Calibri"/>
          <w:sz w:val="24"/>
          <w:szCs w:val="24"/>
        </w:rPr>
      </w:pPr>
    </w:p>
    <w:p w14:paraId="1FFA97B8" w14:textId="77777777" w:rsidR="001716B9" w:rsidRDefault="001716B9" w:rsidP="00D05AE0">
      <w:pPr>
        <w:spacing w:before="240" w:after="240"/>
        <w:rPr>
          <w:rStyle w:val="Heading1Char"/>
          <w:rFonts w:eastAsia="Calibri"/>
          <w:sz w:val="24"/>
          <w:szCs w:val="24"/>
        </w:rPr>
      </w:pPr>
    </w:p>
    <w:p w14:paraId="6B9B1FD2" w14:textId="77777777" w:rsidR="001716B9" w:rsidRDefault="001716B9" w:rsidP="00D05AE0">
      <w:pPr>
        <w:spacing w:before="240" w:after="240"/>
        <w:rPr>
          <w:rStyle w:val="Heading1Char"/>
          <w:rFonts w:eastAsia="Calibri"/>
          <w:sz w:val="24"/>
          <w:szCs w:val="24"/>
        </w:rPr>
      </w:pPr>
    </w:p>
    <w:p w14:paraId="39209B0C" w14:textId="77777777" w:rsidR="00D05AE0" w:rsidRDefault="00D05AE0" w:rsidP="002C6C54">
      <w:pPr>
        <w:pStyle w:val="Heading1"/>
        <w:rPr>
          <w:rStyle w:val="Heading1Char"/>
          <w:rFonts w:eastAsia="Calibri"/>
          <w:b/>
          <w:bCs/>
        </w:rPr>
      </w:pPr>
      <w:r w:rsidRPr="002C6C54">
        <w:rPr>
          <w:rStyle w:val="Heading1Char"/>
          <w:rFonts w:eastAsia="Calibri"/>
          <w:b/>
          <w:bCs/>
        </w:rPr>
        <w:lastRenderedPageBreak/>
        <w:t>Starting to GEM-Cut</w:t>
      </w:r>
    </w:p>
    <w:p w14:paraId="32E8FA98" w14:textId="77777777" w:rsidR="00472149" w:rsidRPr="00B2145E" w:rsidRDefault="00D05AE0" w:rsidP="002C6C54">
      <w:pPr>
        <w:spacing w:before="240"/>
        <w:rPr>
          <w:rFonts w:ascii="Cambria" w:hAnsi="Cambria"/>
        </w:rPr>
      </w:pPr>
      <w:r w:rsidRPr="00B2145E">
        <w:rPr>
          <w:rFonts w:ascii="Cambria" w:hAnsi="Cambria"/>
        </w:rPr>
        <w:t>To get started, identify guideline text that you would like to cut, then select it as shown below:</w:t>
      </w:r>
    </w:p>
    <w:p w14:paraId="2EE26DE4" w14:textId="77777777" w:rsidR="00D05AE0" w:rsidRDefault="006C681D" w:rsidP="001716B9">
      <w:pPr>
        <w:jc w:val="center"/>
      </w:pPr>
      <w:r>
        <w:rPr>
          <w:noProof/>
        </w:rPr>
        <w:drawing>
          <wp:inline distT="0" distB="0" distL="0" distR="0" wp14:anchorId="3D2081F3" wp14:editId="2326168E">
            <wp:extent cx="4872990" cy="3301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990" cy="3301365"/>
                    </a:xfrm>
                    <a:prstGeom prst="rect">
                      <a:avLst/>
                    </a:prstGeom>
                    <a:noFill/>
                    <a:ln>
                      <a:noFill/>
                    </a:ln>
                  </pic:spPr>
                </pic:pic>
              </a:graphicData>
            </a:graphic>
          </wp:inline>
        </w:drawing>
      </w:r>
    </w:p>
    <w:p w14:paraId="3F9E810B" w14:textId="77777777" w:rsidR="0071364A" w:rsidRDefault="0071364A" w:rsidP="0071364A">
      <w:pPr>
        <w:rPr>
          <w:rFonts w:ascii="Cambria" w:hAnsi="Cambria"/>
        </w:rPr>
      </w:pPr>
      <w:r w:rsidRPr="00B2145E">
        <w:rPr>
          <w:rFonts w:ascii="Cambria" w:hAnsi="Cambria"/>
        </w:rPr>
        <w:t xml:space="preserve">Next, select the element in the tree view that pertains to this text, e.g., </w:t>
      </w:r>
      <w:r w:rsidR="008F496F">
        <w:rPr>
          <w:rFonts w:ascii="Cambria" w:hAnsi="Cambria"/>
        </w:rPr>
        <w:t>&lt;</w:t>
      </w:r>
      <w:proofErr w:type="spellStart"/>
      <w:r w:rsidR="008F496F">
        <w:rPr>
          <w:rFonts w:ascii="Cambria" w:hAnsi="Cambria"/>
        </w:rPr>
        <w:t>GuidelineTitle</w:t>
      </w:r>
      <w:proofErr w:type="spellEnd"/>
      <w:r w:rsidR="008F496F">
        <w:rPr>
          <w:rFonts w:ascii="Cambria" w:hAnsi="Cambria"/>
        </w:rPr>
        <w:t>&gt; as shown below. Note that in the bottom right-hand corner a definition of the element selected will be displayed, which can be used to ensure that you are capturing the appropriate text for that element.</w:t>
      </w:r>
    </w:p>
    <w:p w14:paraId="3EC96C32" w14:textId="77777777" w:rsidR="008F496F" w:rsidRDefault="006C681D" w:rsidP="004271DD">
      <w:pPr>
        <w:jc w:val="center"/>
      </w:pPr>
      <w:r>
        <w:rPr>
          <w:noProof/>
        </w:rPr>
        <w:drawing>
          <wp:inline distT="0" distB="0" distL="0" distR="0" wp14:anchorId="073BFFCF" wp14:editId="23D160D9">
            <wp:extent cx="4989195" cy="3375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9195" cy="3375025"/>
                    </a:xfrm>
                    <a:prstGeom prst="rect">
                      <a:avLst/>
                    </a:prstGeom>
                    <a:noFill/>
                    <a:ln>
                      <a:noFill/>
                    </a:ln>
                  </pic:spPr>
                </pic:pic>
              </a:graphicData>
            </a:graphic>
          </wp:inline>
        </w:drawing>
      </w:r>
    </w:p>
    <w:p w14:paraId="504894E7" w14:textId="77777777" w:rsidR="004271DD" w:rsidRDefault="00B2145E" w:rsidP="007E3976">
      <w:pPr>
        <w:rPr>
          <w:rFonts w:ascii="Cambria" w:hAnsi="Cambria"/>
        </w:rPr>
      </w:pPr>
      <w:r w:rsidRPr="00B2145E">
        <w:rPr>
          <w:rFonts w:ascii="Cambria" w:hAnsi="Cambria"/>
        </w:rPr>
        <w:lastRenderedPageBreak/>
        <w:t xml:space="preserve">Finally, click on the first arrow button as shown </w:t>
      </w:r>
      <w:r w:rsidR="008F496F">
        <w:rPr>
          <w:rFonts w:ascii="Cambria" w:hAnsi="Cambria"/>
        </w:rPr>
        <w:t xml:space="preserve">below (“hovering” with your mouse above this button will read </w:t>
      </w:r>
      <w:r w:rsidR="004271DD">
        <w:rPr>
          <w:rFonts w:ascii="Cambria" w:hAnsi="Cambria"/>
        </w:rPr>
        <w:t>“Move Text”).</w:t>
      </w:r>
    </w:p>
    <w:p w14:paraId="0B853A7D" w14:textId="77777777" w:rsidR="0071364A" w:rsidRDefault="006C681D" w:rsidP="004271DD">
      <w:pPr>
        <w:jc w:val="center"/>
      </w:pPr>
      <w:r>
        <w:rPr>
          <w:noProof/>
        </w:rPr>
        <w:drawing>
          <wp:inline distT="0" distB="0" distL="0" distR="0" wp14:anchorId="327D2499" wp14:editId="05F1CB2A">
            <wp:extent cx="5124450" cy="3491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3491865"/>
                    </a:xfrm>
                    <a:prstGeom prst="rect">
                      <a:avLst/>
                    </a:prstGeom>
                    <a:noFill/>
                    <a:ln>
                      <a:noFill/>
                    </a:ln>
                  </pic:spPr>
                </pic:pic>
              </a:graphicData>
            </a:graphic>
          </wp:inline>
        </w:drawing>
      </w:r>
    </w:p>
    <w:p w14:paraId="1121755A" w14:textId="77777777" w:rsidR="004271DD" w:rsidRDefault="008F496F" w:rsidP="007E3976">
      <w:r w:rsidRPr="00B2145E">
        <w:rPr>
          <w:rFonts w:ascii="Cambria" w:hAnsi="Cambria"/>
        </w:rPr>
        <w:t>The text will be moved into the text box on the right.</w:t>
      </w:r>
    </w:p>
    <w:p w14:paraId="4B9FAA0D" w14:textId="77777777" w:rsidR="0071364A" w:rsidRDefault="006C681D" w:rsidP="001716B9">
      <w:pPr>
        <w:jc w:val="center"/>
      </w:pPr>
      <w:r>
        <w:rPr>
          <w:noProof/>
        </w:rPr>
        <w:drawing>
          <wp:inline distT="0" distB="0" distL="0" distR="0" wp14:anchorId="280BCBF9" wp14:editId="679CCE65">
            <wp:extent cx="5541645" cy="3749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645" cy="3749675"/>
                    </a:xfrm>
                    <a:prstGeom prst="rect">
                      <a:avLst/>
                    </a:prstGeom>
                    <a:noFill/>
                    <a:ln>
                      <a:noFill/>
                    </a:ln>
                  </pic:spPr>
                </pic:pic>
              </a:graphicData>
            </a:graphic>
          </wp:inline>
        </w:drawing>
      </w:r>
    </w:p>
    <w:p w14:paraId="474BA2F1" w14:textId="77777777" w:rsidR="007A57B9" w:rsidRDefault="004271DD" w:rsidP="007A57B9">
      <w:r w:rsidRPr="004271DD">
        <w:rPr>
          <w:rFonts w:ascii="Cambria" w:hAnsi="Cambria"/>
        </w:rPr>
        <w:lastRenderedPageBreak/>
        <w:t>You can edit the text in the text box, if you wish to make changes to the original guideline text. If you choose to edit text, the button above the text box will move to Inferred, indicating in the XML document that this text is not the original, but has been modified.</w:t>
      </w:r>
      <w:r w:rsidR="00697D6D">
        <w:rPr>
          <w:rFonts w:ascii="Cambria" w:hAnsi="Cambria"/>
        </w:rPr>
        <w:t xml:space="preserve"> In addition to the “Move Text” button, the additional below features are available: </w:t>
      </w:r>
    </w:p>
    <w:p w14:paraId="3BB6D8CF" w14:textId="77777777" w:rsidR="007A57B9" w:rsidRDefault="006C681D" w:rsidP="00697D6D">
      <w:pPr>
        <w:jc w:val="center"/>
      </w:pPr>
      <w:r w:rsidRPr="006025ED">
        <w:rPr>
          <w:noProof/>
        </w:rPr>
        <w:drawing>
          <wp:inline distT="0" distB="0" distL="0" distR="0" wp14:anchorId="05A6E8B7" wp14:editId="6F3A56CC">
            <wp:extent cx="3068320" cy="59499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8320" cy="594995"/>
                    </a:xfrm>
                    <a:prstGeom prst="rect">
                      <a:avLst/>
                    </a:prstGeom>
                    <a:noFill/>
                    <a:ln>
                      <a:noFill/>
                    </a:ln>
                  </pic:spPr>
                </pic:pic>
              </a:graphicData>
            </a:graphic>
          </wp:inline>
        </w:drawing>
      </w:r>
    </w:p>
    <w:p w14:paraId="70A84E32" w14:textId="77777777" w:rsidR="007A57B9" w:rsidRPr="00AC3DDC" w:rsidRDefault="007A57B9" w:rsidP="00D66446">
      <w:pPr>
        <w:spacing w:line="240" w:lineRule="auto"/>
        <w:rPr>
          <w:rFonts w:ascii="Cambria" w:hAnsi="Cambria"/>
        </w:rPr>
      </w:pPr>
      <w:r w:rsidRPr="00AC3DDC">
        <w:rPr>
          <w:rFonts w:ascii="Cambria" w:hAnsi="Cambria"/>
        </w:rPr>
        <w:t xml:space="preserve">1. </w:t>
      </w:r>
      <w:r w:rsidR="00697D6D" w:rsidRPr="00AC3DDC">
        <w:rPr>
          <w:rFonts w:ascii="Cambria" w:hAnsi="Cambria"/>
        </w:rPr>
        <w:t>Move</w:t>
      </w:r>
      <w:r w:rsidRPr="00AC3DDC">
        <w:rPr>
          <w:rFonts w:ascii="Cambria" w:hAnsi="Cambria"/>
        </w:rPr>
        <w:t xml:space="preserve"> Text - Inserts the currently selected text into the tree view</w:t>
      </w:r>
    </w:p>
    <w:p w14:paraId="03CCBB92" w14:textId="77777777" w:rsidR="007A57B9" w:rsidRPr="00AC3DDC" w:rsidRDefault="007A57B9" w:rsidP="00D66446">
      <w:pPr>
        <w:spacing w:line="240" w:lineRule="auto"/>
        <w:rPr>
          <w:rFonts w:ascii="Cambria" w:hAnsi="Cambria"/>
        </w:rPr>
      </w:pPr>
      <w:r w:rsidRPr="00AC3DDC">
        <w:rPr>
          <w:rFonts w:ascii="Cambria" w:hAnsi="Cambria"/>
        </w:rPr>
        <w:t xml:space="preserve">2. Append Text - Adds the selected text to the end of the existing element text </w:t>
      </w:r>
    </w:p>
    <w:p w14:paraId="604476A0" w14:textId="77777777" w:rsidR="007A57B9" w:rsidRPr="00AC3DDC" w:rsidRDefault="007A57B9" w:rsidP="00D66446">
      <w:pPr>
        <w:spacing w:line="240" w:lineRule="auto"/>
        <w:rPr>
          <w:rFonts w:ascii="Cambria" w:hAnsi="Cambria"/>
        </w:rPr>
      </w:pPr>
      <w:r w:rsidRPr="00AC3DDC">
        <w:rPr>
          <w:rFonts w:ascii="Cambria" w:hAnsi="Cambria"/>
        </w:rPr>
        <w:t>3. Overwrite Text - Replaces the existing text in the tree view with the selected text</w:t>
      </w:r>
    </w:p>
    <w:p w14:paraId="3D87C6DF" w14:textId="77777777" w:rsidR="007A57B9" w:rsidRPr="00AC3DDC" w:rsidRDefault="007A57B9" w:rsidP="00D66446">
      <w:pPr>
        <w:spacing w:line="240" w:lineRule="auto"/>
        <w:rPr>
          <w:rFonts w:ascii="Cambria" w:hAnsi="Cambria"/>
        </w:rPr>
      </w:pPr>
      <w:r w:rsidRPr="00AC3DDC">
        <w:rPr>
          <w:rFonts w:ascii="Cambria" w:hAnsi="Cambria"/>
        </w:rPr>
        <w:t>4. Remove Text – Erases the contents of the element in the tree view</w:t>
      </w:r>
    </w:p>
    <w:p w14:paraId="1CE51E53" w14:textId="77777777" w:rsidR="007A57B9" w:rsidRPr="00AC3DDC" w:rsidRDefault="007A57B9" w:rsidP="00D66446">
      <w:pPr>
        <w:spacing w:line="240" w:lineRule="auto"/>
        <w:rPr>
          <w:rFonts w:ascii="Cambria" w:hAnsi="Cambria"/>
        </w:rPr>
      </w:pPr>
      <w:r w:rsidRPr="00AC3DDC">
        <w:rPr>
          <w:rFonts w:ascii="Cambria" w:hAnsi="Cambria"/>
        </w:rPr>
        <w:t>5. Create Subtree – Makes a copy of the currently selected element in the tree view and its child elements</w:t>
      </w:r>
    </w:p>
    <w:p w14:paraId="1CC90A4E" w14:textId="77777777" w:rsidR="007A57B9" w:rsidRPr="00AC3DDC" w:rsidRDefault="007A57B9" w:rsidP="00D66446">
      <w:pPr>
        <w:spacing w:line="240" w:lineRule="auto"/>
        <w:rPr>
          <w:rFonts w:ascii="Cambria" w:hAnsi="Cambria"/>
        </w:rPr>
      </w:pPr>
      <w:r w:rsidRPr="00AC3DDC">
        <w:rPr>
          <w:rFonts w:ascii="Cambria" w:hAnsi="Cambria"/>
        </w:rPr>
        <w:t>6. Remove Subtree – Deletes the currently selected element in the tree view and its child elements</w:t>
      </w:r>
    </w:p>
    <w:p w14:paraId="679D15FE" w14:textId="77777777" w:rsidR="007A57B9" w:rsidRPr="00AC3DDC" w:rsidRDefault="007A57B9" w:rsidP="007A57B9">
      <w:pPr>
        <w:rPr>
          <w:rFonts w:ascii="Cambria" w:hAnsi="Cambria"/>
        </w:rPr>
      </w:pPr>
      <w:r w:rsidRPr="00AC3DDC">
        <w:rPr>
          <w:rFonts w:ascii="Cambria" w:hAnsi="Cambria"/>
        </w:rPr>
        <w:t>7. Logic - Displays the Logic Window to assist in writing to the Logic Element</w:t>
      </w:r>
      <w:r w:rsidR="00D66446" w:rsidRPr="00AC3DDC">
        <w:rPr>
          <w:rFonts w:ascii="Cambria" w:hAnsi="Cambria"/>
        </w:rPr>
        <w:t>. Detailed instructions for using the Logic feature are provided below in this document.</w:t>
      </w:r>
    </w:p>
    <w:p w14:paraId="1061B24E" w14:textId="77777777" w:rsidR="00D66446" w:rsidRPr="002C6C54" w:rsidRDefault="00D66446" w:rsidP="002C6C54">
      <w:pPr>
        <w:pStyle w:val="Heading1"/>
        <w:spacing w:before="240" w:after="240"/>
        <w:rPr>
          <w:rStyle w:val="Heading1Char"/>
          <w:rFonts w:eastAsia="Calibri"/>
          <w:b/>
          <w:bCs/>
        </w:rPr>
      </w:pPr>
      <w:r w:rsidRPr="002C6C54">
        <w:rPr>
          <w:rStyle w:val="Heading1Char"/>
          <w:rFonts w:eastAsia="Calibri"/>
          <w:b/>
          <w:bCs/>
        </w:rPr>
        <w:t>Populating the Logic Element</w:t>
      </w:r>
    </w:p>
    <w:p w14:paraId="0F020593" w14:textId="77777777" w:rsidR="00D66446" w:rsidRPr="00AC3DDC" w:rsidRDefault="00D66446" w:rsidP="00D66446">
      <w:pPr>
        <w:rPr>
          <w:rFonts w:ascii="Cambria" w:hAnsi="Cambria"/>
        </w:rPr>
      </w:pPr>
      <w:r w:rsidRPr="00AC3DDC">
        <w:rPr>
          <w:rFonts w:ascii="Cambria" w:hAnsi="Cambria"/>
        </w:rPr>
        <w:t>The Logic button (#7 in the above diagram), will become “active” if the Conditional or Imperative element in the tree is selected. By clicking on the button, the Logic Window, shown below, will be displayed.</w:t>
      </w:r>
    </w:p>
    <w:p w14:paraId="5B9C8475" w14:textId="77777777" w:rsidR="00D66446" w:rsidRDefault="006C681D" w:rsidP="00D66446">
      <w:pPr>
        <w:jc w:val="center"/>
      </w:pPr>
      <w:r w:rsidRPr="00C23003">
        <w:rPr>
          <w:noProof/>
        </w:rPr>
        <w:drawing>
          <wp:inline distT="0" distB="0" distL="0" distR="0" wp14:anchorId="2C20B14B" wp14:editId="7D3E5459">
            <wp:extent cx="4891405" cy="341820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1405" cy="3418205"/>
                    </a:xfrm>
                    <a:prstGeom prst="rect">
                      <a:avLst/>
                    </a:prstGeom>
                    <a:noFill/>
                    <a:ln>
                      <a:noFill/>
                    </a:ln>
                  </pic:spPr>
                </pic:pic>
              </a:graphicData>
            </a:graphic>
          </wp:inline>
        </w:drawing>
      </w:r>
    </w:p>
    <w:p w14:paraId="1E927537" w14:textId="77777777" w:rsidR="00D66446" w:rsidRPr="00E353FA" w:rsidRDefault="00D66446" w:rsidP="00D66446">
      <w:pPr>
        <w:rPr>
          <w:rFonts w:ascii="Cambria" w:hAnsi="Cambria"/>
        </w:rPr>
      </w:pPr>
      <w:r w:rsidRPr="00E353FA">
        <w:rPr>
          <w:rFonts w:ascii="Cambria" w:hAnsi="Cambria"/>
        </w:rPr>
        <w:lastRenderedPageBreak/>
        <w:t xml:space="preserve">This window </w:t>
      </w:r>
      <w:r>
        <w:rPr>
          <w:rFonts w:ascii="Cambria" w:hAnsi="Cambria"/>
        </w:rPr>
        <w:t>displays</w:t>
      </w:r>
      <w:r w:rsidRPr="00E353FA">
        <w:rPr>
          <w:rFonts w:ascii="Cambria" w:hAnsi="Cambria"/>
        </w:rPr>
        <w:t xml:space="preserve"> an "If" box</w:t>
      </w:r>
      <w:r>
        <w:rPr>
          <w:rFonts w:ascii="Cambria" w:hAnsi="Cambria"/>
        </w:rPr>
        <w:t xml:space="preserve">, which </w:t>
      </w:r>
      <w:r w:rsidRPr="00E353FA">
        <w:rPr>
          <w:rFonts w:ascii="Cambria" w:hAnsi="Cambria"/>
        </w:rPr>
        <w:t>contains a</w:t>
      </w:r>
      <w:r>
        <w:rPr>
          <w:rFonts w:ascii="Cambria" w:hAnsi="Cambria"/>
        </w:rPr>
        <w:t xml:space="preserve"> list of the decision variables for recommendations cut as Conditional (this box is blank for Imperatives). </w:t>
      </w:r>
      <w:r w:rsidRPr="00E353FA">
        <w:rPr>
          <w:rFonts w:ascii="Cambria" w:hAnsi="Cambria"/>
        </w:rPr>
        <w:t xml:space="preserve">To the left is a vertical row of buttons that will insert the text on the button where the cursor is located in the text area. The same applies to the lower "Then" box, but here the Actions </w:t>
      </w:r>
      <w:r>
        <w:rPr>
          <w:rFonts w:ascii="Cambria" w:hAnsi="Cambria"/>
        </w:rPr>
        <w:t xml:space="preserve">are listed for </w:t>
      </w:r>
      <w:proofErr w:type="spellStart"/>
      <w:r w:rsidRPr="00E353FA">
        <w:rPr>
          <w:rFonts w:ascii="Cambria" w:hAnsi="Cambria"/>
        </w:rPr>
        <w:t>for</w:t>
      </w:r>
      <w:proofErr w:type="spellEnd"/>
      <w:r w:rsidRPr="00E353FA">
        <w:rPr>
          <w:rFonts w:ascii="Cambria" w:hAnsi="Cambria"/>
        </w:rPr>
        <w:t xml:space="preserve"> a Conditional</w:t>
      </w:r>
      <w:r>
        <w:rPr>
          <w:rFonts w:ascii="Cambria" w:hAnsi="Cambria"/>
        </w:rPr>
        <w:t xml:space="preserve">, </w:t>
      </w:r>
      <w:r w:rsidRPr="00E353FA">
        <w:rPr>
          <w:rFonts w:ascii="Cambria" w:hAnsi="Cambria"/>
        </w:rPr>
        <w:t>Directives for an Imperative. To Save the logic, select the Save button in the lower right.</w:t>
      </w:r>
    </w:p>
    <w:p w14:paraId="5BD6BEEF" w14:textId="1DDD6B01" w:rsidR="004C2560" w:rsidRDefault="004C2560" w:rsidP="004C2560">
      <w:pPr>
        <w:jc w:val="center"/>
      </w:pPr>
    </w:p>
    <w:p w14:paraId="5867B083" w14:textId="77777777" w:rsidR="00E353FA" w:rsidRDefault="00E353FA" w:rsidP="00E353FA"/>
    <w:p w14:paraId="1CEB7BB1" w14:textId="77777777" w:rsidR="00BE7D8E" w:rsidRPr="002C6C54" w:rsidRDefault="00A57ECD" w:rsidP="002C6C54">
      <w:pPr>
        <w:pStyle w:val="Heading1"/>
        <w:spacing w:before="240" w:after="240"/>
        <w:rPr>
          <w:rStyle w:val="Heading1Char"/>
          <w:rFonts w:eastAsia="Calibri"/>
          <w:b/>
          <w:bCs/>
        </w:rPr>
      </w:pPr>
      <w:r w:rsidRPr="002C6C54">
        <w:rPr>
          <w:rStyle w:val="Heading1Char"/>
          <w:rFonts w:eastAsia="Calibri"/>
          <w:b/>
          <w:bCs/>
        </w:rPr>
        <w:t>Saving and Reopening a Project</w:t>
      </w:r>
    </w:p>
    <w:p w14:paraId="10F4F092" w14:textId="77777777" w:rsidR="00BE7D8E" w:rsidRDefault="00BE7D8E" w:rsidP="00E353FA">
      <w:r>
        <w:t>When you are finished GEM-cutting, t</w:t>
      </w:r>
      <w:r w:rsidR="00E353FA">
        <w:t xml:space="preserve">o save the file, select Project from the menu bar and </w:t>
      </w:r>
      <w:r>
        <w:t>then “</w:t>
      </w:r>
      <w:r w:rsidR="00E353FA">
        <w:t>Save Project</w:t>
      </w:r>
      <w:r>
        <w:t>”</w:t>
      </w:r>
      <w:r w:rsidR="00E353FA">
        <w:t>. A</w:t>
      </w:r>
      <w:r>
        <w:t xml:space="preserve">lternatively, you can click on the icon of the disk (below left). A </w:t>
      </w:r>
      <w:r w:rsidRPr="00BE7D8E">
        <w:t xml:space="preserve">screen like the one </w:t>
      </w:r>
      <w:r>
        <w:t xml:space="preserve">at </w:t>
      </w:r>
      <w:r w:rsidRPr="00BE7D8E">
        <w:t xml:space="preserve">below </w:t>
      </w:r>
      <w:r>
        <w:t xml:space="preserve">right </w:t>
      </w:r>
      <w:r w:rsidRPr="00BE7D8E">
        <w:t>should appear:</w:t>
      </w:r>
    </w:p>
    <w:tbl>
      <w:tblPr>
        <w:tblW w:w="0" w:type="auto"/>
        <w:tblLook w:val="04A0" w:firstRow="1" w:lastRow="0" w:firstColumn="1" w:lastColumn="0" w:noHBand="0" w:noVBand="1"/>
      </w:tblPr>
      <w:tblGrid>
        <w:gridCol w:w="4292"/>
        <w:gridCol w:w="5788"/>
      </w:tblGrid>
      <w:tr w:rsidR="00BE7D8E" w14:paraId="07D6D494" w14:textId="77777777" w:rsidTr="00AC3DDC">
        <w:tc>
          <w:tcPr>
            <w:tcW w:w="5148" w:type="dxa"/>
            <w:shd w:val="clear" w:color="auto" w:fill="auto"/>
          </w:tcPr>
          <w:p w14:paraId="1FBDDE84" w14:textId="77777777" w:rsidR="00BE7D8E" w:rsidRDefault="006C681D" w:rsidP="00BE7D8E">
            <w:r>
              <w:rPr>
                <w:noProof/>
              </w:rPr>
              <w:drawing>
                <wp:inline distT="0" distB="0" distL="0" distR="0" wp14:anchorId="581E9573" wp14:editId="2858332C">
                  <wp:extent cx="2657475" cy="1626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626235"/>
                          </a:xfrm>
                          <a:prstGeom prst="rect">
                            <a:avLst/>
                          </a:prstGeom>
                          <a:noFill/>
                          <a:ln>
                            <a:noFill/>
                          </a:ln>
                        </pic:spPr>
                      </pic:pic>
                    </a:graphicData>
                  </a:graphic>
                </wp:inline>
              </w:drawing>
            </w:r>
          </w:p>
        </w:tc>
        <w:tc>
          <w:tcPr>
            <w:tcW w:w="5148" w:type="dxa"/>
            <w:shd w:val="clear" w:color="auto" w:fill="auto"/>
          </w:tcPr>
          <w:p w14:paraId="520E40C0" w14:textId="77777777" w:rsidR="00BE7D8E" w:rsidRDefault="006C681D" w:rsidP="00E353FA">
            <w:r w:rsidRPr="00C23003">
              <w:rPr>
                <w:noProof/>
              </w:rPr>
              <w:drawing>
                <wp:inline distT="0" distB="0" distL="0" distR="0" wp14:anchorId="5AAFE305" wp14:editId="28A50DF6">
                  <wp:extent cx="3632835" cy="11906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835" cy="1190625"/>
                          </a:xfrm>
                          <a:prstGeom prst="rect">
                            <a:avLst/>
                          </a:prstGeom>
                          <a:noFill/>
                          <a:ln>
                            <a:noFill/>
                          </a:ln>
                        </pic:spPr>
                      </pic:pic>
                    </a:graphicData>
                  </a:graphic>
                </wp:inline>
              </w:drawing>
            </w:r>
          </w:p>
        </w:tc>
      </w:tr>
    </w:tbl>
    <w:p w14:paraId="57A5E889" w14:textId="77777777" w:rsidR="00E353FA" w:rsidRPr="00AC3DDC" w:rsidRDefault="00E353FA" w:rsidP="00E353FA">
      <w:pPr>
        <w:rPr>
          <w:rFonts w:ascii="Cambria" w:hAnsi="Cambria"/>
        </w:rPr>
      </w:pPr>
      <w:r w:rsidRPr="00AC3DDC">
        <w:rPr>
          <w:rFonts w:ascii="Cambria" w:hAnsi="Cambria"/>
        </w:rPr>
        <w:t xml:space="preserve">This action saves the project file as well as the GEM XML file. You can continue to </w:t>
      </w:r>
      <w:r w:rsidR="00512762" w:rsidRPr="00AC3DDC">
        <w:rPr>
          <w:rFonts w:ascii="Cambria" w:hAnsi="Cambria"/>
        </w:rPr>
        <w:t>GEM-cut</w:t>
      </w:r>
      <w:r w:rsidRPr="00AC3DDC">
        <w:rPr>
          <w:rFonts w:ascii="Cambria" w:hAnsi="Cambria"/>
        </w:rPr>
        <w:t xml:space="preserve"> the guideline</w:t>
      </w:r>
      <w:r w:rsidR="00512762" w:rsidRPr="00AC3DDC">
        <w:rPr>
          <w:rFonts w:ascii="Cambria" w:hAnsi="Cambria"/>
        </w:rPr>
        <w:t xml:space="preserve">, </w:t>
      </w:r>
      <w:r w:rsidRPr="00AC3DDC">
        <w:rPr>
          <w:rFonts w:ascii="Cambria" w:hAnsi="Cambria"/>
        </w:rPr>
        <w:t>or exit the program. To use the program with a previously created project file, select Project and the Open Project menu item. The screen below will appear:</w:t>
      </w:r>
    </w:p>
    <w:p w14:paraId="12D6C782" w14:textId="77777777" w:rsidR="00E353FA" w:rsidRDefault="006C681D" w:rsidP="00512762">
      <w:pPr>
        <w:jc w:val="center"/>
      </w:pPr>
      <w:r w:rsidRPr="00AF3F6D">
        <w:rPr>
          <w:noProof/>
        </w:rPr>
        <w:drawing>
          <wp:inline distT="0" distB="0" distL="0" distR="0" wp14:anchorId="5F15535B" wp14:editId="502BC4B7">
            <wp:extent cx="3074670" cy="902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4670" cy="902335"/>
                    </a:xfrm>
                    <a:prstGeom prst="rect">
                      <a:avLst/>
                    </a:prstGeom>
                    <a:noFill/>
                    <a:ln>
                      <a:noFill/>
                    </a:ln>
                  </pic:spPr>
                </pic:pic>
              </a:graphicData>
            </a:graphic>
          </wp:inline>
        </w:drawing>
      </w:r>
    </w:p>
    <w:p w14:paraId="54B083BE" w14:textId="77777777" w:rsidR="00E353FA" w:rsidRPr="00AC3DDC" w:rsidRDefault="00E353FA" w:rsidP="00E353FA">
      <w:pPr>
        <w:rPr>
          <w:rFonts w:ascii="Cambria" w:hAnsi="Cambria"/>
        </w:rPr>
      </w:pPr>
      <w:r w:rsidRPr="00AC3DDC">
        <w:rPr>
          <w:rFonts w:ascii="Cambria" w:hAnsi="Cambria"/>
        </w:rPr>
        <w:t>Click on the button with the ellipsis and navigate to your existing project folder. Select the file with .zip attached to the name of your project and press the Select button. Now select the Open Project button shown above. You should now be able to work on your previously started project.</w:t>
      </w:r>
    </w:p>
    <w:p w14:paraId="12BAEEBC" w14:textId="77777777" w:rsidR="001716B9" w:rsidRPr="002C6C54" w:rsidRDefault="00F0551B" w:rsidP="002C6C54">
      <w:pPr>
        <w:pStyle w:val="Heading1"/>
        <w:spacing w:before="240" w:after="240"/>
        <w:rPr>
          <w:rStyle w:val="Heading1Char"/>
          <w:rFonts w:eastAsia="Calibri"/>
          <w:b/>
          <w:bCs/>
        </w:rPr>
      </w:pPr>
      <w:r>
        <w:rPr>
          <w:rStyle w:val="Heading1Char"/>
          <w:rFonts w:eastAsia="Calibri"/>
          <w:sz w:val="24"/>
          <w:szCs w:val="24"/>
        </w:rPr>
        <w:br w:type="page"/>
      </w:r>
      <w:r w:rsidR="001716B9" w:rsidRPr="002C6C54">
        <w:rPr>
          <w:rStyle w:val="Heading1Char"/>
          <w:rFonts w:eastAsia="Calibri"/>
          <w:b/>
          <w:bCs/>
        </w:rPr>
        <w:lastRenderedPageBreak/>
        <w:t>Generating Reports</w:t>
      </w:r>
    </w:p>
    <w:p w14:paraId="28656C8D" w14:textId="117BA1BE" w:rsidR="00F0551B" w:rsidRPr="00AC3DDC" w:rsidRDefault="00E63270" w:rsidP="001716B9">
      <w:pPr>
        <w:rPr>
          <w:rFonts w:ascii="Cambria" w:hAnsi="Cambria"/>
        </w:rPr>
      </w:pPr>
      <w:r w:rsidRPr="00AC3DDC">
        <w:rPr>
          <w:rFonts w:ascii="Cambria" w:hAnsi="Cambria"/>
        </w:rPr>
        <w:t xml:space="preserve">When you are finished GEM-cutting a guideline, the GEM-Cutter tool provides the ability to generate a variety of different reports, which capture and display the guideline information in different ways.  </w:t>
      </w:r>
      <w:r w:rsidR="001716B9" w:rsidRPr="00AC3DDC">
        <w:rPr>
          <w:rFonts w:ascii="Cambria" w:hAnsi="Cambria"/>
        </w:rPr>
        <w:t>The third menu bar item is Report. This item contains six menu choices</w:t>
      </w:r>
      <w:r w:rsidR="004474A7" w:rsidRPr="00AC3DDC">
        <w:rPr>
          <w:rFonts w:ascii="Cambria" w:hAnsi="Cambria"/>
        </w:rPr>
        <w:t xml:space="preserve">. </w:t>
      </w:r>
      <w:r w:rsidR="001716B9" w:rsidRPr="00AC3DDC">
        <w:rPr>
          <w:rFonts w:ascii="Cambria" w:hAnsi="Cambria"/>
        </w:rPr>
        <w:t xml:space="preserve"> </w:t>
      </w:r>
    </w:p>
    <w:p w14:paraId="56023749" w14:textId="77777777" w:rsidR="001716B9" w:rsidRPr="00AC3DDC" w:rsidRDefault="004474A7" w:rsidP="00F0551B">
      <w:pPr>
        <w:numPr>
          <w:ilvl w:val="0"/>
          <w:numId w:val="4"/>
        </w:numPr>
        <w:rPr>
          <w:rFonts w:ascii="Cambria" w:hAnsi="Cambria"/>
        </w:rPr>
      </w:pPr>
      <w:r w:rsidRPr="00AC3DDC">
        <w:rPr>
          <w:rFonts w:ascii="Cambria" w:hAnsi="Cambria"/>
          <w:b/>
        </w:rPr>
        <w:t>Extractor-Detailed</w:t>
      </w:r>
      <w:r w:rsidR="001716B9" w:rsidRPr="00AC3DDC">
        <w:rPr>
          <w:rFonts w:ascii="Cambria" w:hAnsi="Cambria"/>
        </w:rPr>
        <w:t>. By selecting this view, a screen showing the extracted version of the current GEM document is displayed.</w:t>
      </w:r>
    </w:p>
    <w:p w14:paraId="2E0FD219" w14:textId="77777777" w:rsidR="00E353FA" w:rsidRPr="00AC3DDC" w:rsidRDefault="00E353FA" w:rsidP="00E353FA">
      <w:pPr>
        <w:rPr>
          <w:rFonts w:ascii="Cambria" w:hAnsi="Cambria"/>
        </w:rPr>
      </w:pPr>
    </w:p>
    <w:p w14:paraId="2FFBD61C" w14:textId="77777777" w:rsidR="004474A7" w:rsidRPr="00AC3DDC" w:rsidRDefault="006C681D" w:rsidP="00F0551B">
      <w:pPr>
        <w:jc w:val="center"/>
        <w:rPr>
          <w:rFonts w:ascii="Cambria" w:hAnsi="Cambria"/>
        </w:rPr>
      </w:pPr>
      <w:r w:rsidRPr="00C23003">
        <w:rPr>
          <w:noProof/>
        </w:rPr>
        <w:drawing>
          <wp:inline distT="0" distB="0" distL="0" distR="0" wp14:anchorId="3A268795" wp14:editId="732C3691">
            <wp:extent cx="5940425" cy="4970780"/>
            <wp:effectExtent l="25400" t="25400" r="3175"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970780"/>
                    </a:xfrm>
                    <a:prstGeom prst="rect">
                      <a:avLst/>
                    </a:prstGeom>
                    <a:noFill/>
                    <a:ln w="6350" cmpd="sng">
                      <a:solidFill>
                        <a:srgbClr val="000000"/>
                      </a:solidFill>
                      <a:miter lim="800000"/>
                      <a:headEnd/>
                      <a:tailEnd/>
                    </a:ln>
                    <a:effectLst/>
                  </pic:spPr>
                </pic:pic>
              </a:graphicData>
            </a:graphic>
          </wp:inline>
        </w:drawing>
      </w:r>
    </w:p>
    <w:p w14:paraId="6B51BF85" w14:textId="77777777" w:rsidR="001716B9" w:rsidRDefault="001716B9" w:rsidP="001716B9"/>
    <w:p w14:paraId="3A2D38DE" w14:textId="77777777" w:rsidR="00F0551B" w:rsidRDefault="00F0551B" w:rsidP="001716B9"/>
    <w:p w14:paraId="73EB77AF" w14:textId="77777777" w:rsidR="00F0551B" w:rsidRDefault="00F0551B" w:rsidP="001716B9"/>
    <w:p w14:paraId="2B5B6904" w14:textId="77777777" w:rsidR="00F0551B" w:rsidRDefault="00F0551B" w:rsidP="001716B9"/>
    <w:p w14:paraId="6CD87C6B" w14:textId="77777777" w:rsidR="004474A7" w:rsidRPr="00CB21C6" w:rsidRDefault="004474A7" w:rsidP="00F0551B">
      <w:pPr>
        <w:numPr>
          <w:ilvl w:val="0"/>
          <w:numId w:val="4"/>
        </w:numPr>
        <w:rPr>
          <w:rFonts w:ascii="Cambria" w:hAnsi="Cambria"/>
        </w:rPr>
      </w:pPr>
      <w:r w:rsidRPr="00CB21C6">
        <w:rPr>
          <w:rFonts w:ascii="Cambria" w:hAnsi="Cambria"/>
          <w:b/>
        </w:rPr>
        <w:lastRenderedPageBreak/>
        <w:t>Extractor-Rules</w:t>
      </w:r>
      <w:r w:rsidR="001716B9" w:rsidRPr="00CB21C6">
        <w:rPr>
          <w:rFonts w:ascii="Cambria" w:hAnsi="Cambria"/>
        </w:rPr>
        <w:t xml:space="preserve">. </w:t>
      </w:r>
      <w:r w:rsidR="00C15AAC" w:rsidRPr="00CB21C6">
        <w:rPr>
          <w:rFonts w:ascii="Cambria" w:hAnsi="Cambria"/>
        </w:rPr>
        <w:t xml:space="preserve">In this report the guideline recommendations are stated in full and parsed into imperative and conditional statements, followed by a restatement as IF…THEN rules (IF </w:t>
      </w:r>
      <w:r w:rsidR="00CB21C6" w:rsidRPr="00CB21C6">
        <w:rPr>
          <w:rFonts w:ascii="Cambria" w:hAnsi="Cambria"/>
        </w:rPr>
        <w:t>d</w:t>
      </w:r>
      <w:r w:rsidR="00C15AAC" w:rsidRPr="00CB21C6">
        <w:rPr>
          <w:rFonts w:ascii="Cambria" w:hAnsi="Cambria"/>
        </w:rPr>
        <w:t xml:space="preserve">ecision </w:t>
      </w:r>
      <w:r w:rsidR="00CB21C6" w:rsidRPr="00CB21C6">
        <w:rPr>
          <w:rFonts w:ascii="Cambria" w:hAnsi="Cambria"/>
        </w:rPr>
        <w:t>v</w:t>
      </w:r>
      <w:r w:rsidR="00C15AAC" w:rsidRPr="00CB21C6">
        <w:rPr>
          <w:rFonts w:ascii="Cambria" w:hAnsi="Cambria"/>
        </w:rPr>
        <w:t xml:space="preserve">ariables…THEN actions) or as directives (IF a member of the Target Population…THEN directive). Blocks are included in the report in which decidability and executability can be commented upon and vocabulary codes for the parsed components may be entered. </w:t>
      </w:r>
    </w:p>
    <w:p w14:paraId="4829F707" w14:textId="77777777" w:rsidR="004474A7" w:rsidRDefault="006C681D" w:rsidP="00C15AAC">
      <w:pPr>
        <w:jc w:val="center"/>
      </w:pPr>
      <w:r w:rsidRPr="00C23003">
        <w:rPr>
          <w:noProof/>
        </w:rPr>
        <w:drawing>
          <wp:inline distT="0" distB="0" distL="0" distR="0" wp14:anchorId="023657E8" wp14:editId="79D7233D">
            <wp:extent cx="5431155" cy="6812280"/>
            <wp:effectExtent l="25400" t="2540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155" cy="6812280"/>
                    </a:xfrm>
                    <a:prstGeom prst="rect">
                      <a:avLst/>
                    </a:prstGeom>
                    <a:noFill/>
                    <a:ln w="6350" cmpd="sng">
                      <a:solidFill>
                        <a:srgbClr val="000000"/>
                      </a:solidFill>
                      <a:miter lim="800000"/>
                      <a:headEnd/>
                      <a:tailEnd/>
                    </a:ln>
                    <a:effectLst/>
                  </pic:spPr>
                </pic:pic>
              </a:graphicData>
            </a:graphic>
          </wp:inline>
        </w:drawing>
      </w:r>
    </w:p>
    <w:p w14:paraId="0CF69F96" w14:textId="77777777" w:rsidR="004474A7" w:rsidRPr="00CB21C6" w:rsidRDefault="00C15AAC" w:rsidP="00F0551B">
      <w:pPr>
        <w:numPr>
          <w:ilvl w:val="0"/>
          <w:numId w:val="4"/>
        </w:numPr>
        <w:rPr>
          <w:rFonts w:ascii="Cambria" w:hAnsi="Cambria"/>
        </w:rPr>
      </w:pPr>
      <w:r w:rsidRPr="00CB21C6">
        <w:rPr>
          <w:rFonts w:ascii="Cambria" w:hAnsi="Cambria"/>
          <w:b/>
        </w:rPr>
        <w:lastRenderedPageBreak/>
        <w:t>Decision Variables</w:t>
      </w:r>
      <w:r w:rsidRPr="00CB21C6">
        <w:rPr>
          <w:rFonts w:ascii="Cambria" w:hAnsi="Cambria"/>
        </w:rPr>
        <w:t>. In this report, all of the decision variables are removed from guideline context and presented in a list. This report offers an enhanced opportunity to judge and identify vagueness, underspecification, and decidability. It also provides (1) a comprehensive list of “trigger items” for decision support activities and (2) measurable starting points for evaluation.</w:t>
      </w:r>
    </w:p>
    <w:p w14:paraId="6C550160" w14:textId="77777777" w:rsidR="00C15AAC" w:rsidRDefault="006C681D" w:rsidP="00F0551B">
      <w:pPr>
        <w:jc w:val="center"/>
      </w:pPr>
      <w:r w:rsidRPr="00C23003">
        <w:rPr>
          <w:noProof/>
        </w:rPr>
        <w:drawing>
          <wp:inline distT="0" distB="0" distL="0" distR="0" wp14:anchorId="4D6FD1B3" wp14:editId="55CC9838">
            <wp:extent cx="5940425" cy="52038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203825"/>
                    </a:xfrm>
                    <a:prstGeom prst="rect">
                      <a:avLst/>
                    </a:prstGeom>
                    <a:noFill/>
                    <a:ln>
                      <a:noFill/>
                    </a:ln>
                  </pic:spPr>
                </pic:pic>
              </a:graphicData>
            </a:graphic>
          </wp:inline>
        </w:drawing>
      </w:r>
    </w:p>
    <w:p w14:paraId="1422AF72" w14:textId="77777777" w:rsidR="00F0551B" w:rsidRDefault="00F0551B" w:rsidP="001716B9"/>
    <w:p w14:paraId="11B16DBA" w14:textId="77777777" w:rsidR="00CB21C6" w:rsidRDefault="00CB21C6" w:rsidP="00CB21C6">
      <w:pPr>
        <w:rPr>
          <w:rFonts w:ascii="Cambria" w:hAnsi="Cambria"/>
        </w:rPr>
      </w:pPr>
    </w:p>
    <w:p w14:paraId="5ECB2CB8" w14:textId="77777777" w:rsidR="00CB21C6" w:rsidRDefault="00CB21C6" w:rsidP="00CB21C6">
      <w:pPr>
        <w:rPr>
          <w:rFonts w:ascii="Cambria" w:hAnsi="Cambria"/>
        </w:rPr>
      </w:pPr>
    </w:p>
    <w:p w14:paraId="337F78DE" w14:textId="77777777" w:rsidR="00CB21C6" w:rsidRDefault="00CB21C6" w:rsidP="00CB21C6">
      <w:pPr>
        <w:rPr>
          <w:rFonts w:ascii="Cambria" w:hAnsi="Cambria"/>
        </w:rPr>
      </w:pPr>
    </w:p>
    <w:p w14:paraId="3C4CB750" w14:textId="77777777" w:rsidR="00CB21C6" w:rsidRDefault="00CB21C6" w:rsidP="00CB21C6">
      <w:pPr>
        <w:rPr>
          <w:rFonts w:ascii="Cambria" w:hAnsi="Cambria"/>
        </w:rPr>
      </w:pPr>
    </w:p>
    <w:p w14:paraId="662149A8" w14:textId="77777777" w:rsidR="00CB21C6" w:rsidRPr="00CB21C6" w:rsidRDefault="00CB21C6" w:rsidP="00CB21C6">
      <w:pPr>
        <w:rPr>
          <w:rFonts w:ascii="Cambria" w:hAnsi="Cambria"/>
        </w:rPr>
      </w:pPr>
    </w:p>
    <w:p w14:paraId="2613AAD1" w14:textId="77777777" w:rsidR="00F0551B" w:rsidRPr="00CB21C6" w:rsidRDefault="00F0551B" w:rsidP="00F0551B">
      <w:pPr>
        <w:numPr>
          <w:ilvl w:val="0"/>
          <w:numId w:val="4"/>
        </w:numPr>
        <w:rPr>
          <w:rFonts w:ascii="Cambria" w:hAnsi="Cambria"/>
        </w:rPr>
      </w:pPr>
      <w:r w:rsidRPr="00CB21C6">
        <w:rPr>
          <w:rFonts w:ascii="Cambria" w:hAnsi="Cambria"/>
          <w:b/>
        </w:rPr>
        <w:lastRenderedPageBreak/>
        <w:t>Actions</w:t>
      </w:r>
      <w:r w:rsidRPr="00CB21C6">
        <w:rPr>
          <w:rFonts w:ascii="Cambria" w:hAnsi="Cambria"/>
        </w:rPr>
        <w:t>. All of the actions (and directives) are removed from guideline context and presented in a list. This report offers This report offers an enhanced opportunity to judge and identify vagueness, underspecification, and decidability. It also provides (1) a comprehensive list of activities that will need to be addressed in the design of decision support systems activities and (2) a listing of potentially measurable actions.</w:t>
      </w:r>
    </w:p>
    <w:p w14:paraId="5B8CE645" w14:textId="77777777" w:rsidR="00CB21C6" w:rsidRDefault="006C681D" w:rsidP="00CB21C6">
      <w:pPr>
        <w:ind w:left="360"/>
      </w:pPr>
      <w:r w:rsidRPr="00C23003">
        <w:rPr>
          <w:noProof/>
        </w:rPr>
        <w:drawing>
          <wp:inline distT="0" distB="0" distL="0" distR="0" wp14:anchorId="24F86E2B" wp14:editId="69A72895">
            <wp:extent cx="5781040" cy="348551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040" cy="3485515"/>
                    </a:xfrm>
                    <a:prstGeom prst="rect">
                      <a:avLst/>
                    </a:prstGeom>
                    <a:noFill/>
                    <a:ln>
                      <a:noFill/>
                    </a:ln>
                  </pic:spPr>
                </pic:pic>
              </a:graphicData>
            </a:graphic>
          </wp:inline>
        </w:drawing>
      </w:r>
    </w:p>
    <w:p w14:paraId="476AD6CF" w14:textId="4EF8B244" w:rsidR="00F0551B" w:rsidRPr="00AC3DDC" w:rsidRDefault="00F0551B" w:rsidP="000C1FB4">
      <w:pPr>
        <w:numPr>
          <w:ilvl w:val="0"/>
          <w:numId w:val="4"/>
        </w:numPr>
        <w:rPr>
          <w:rFonts w:ascii="Cambria" w:hAnsi="Cambria"/>
        </w:rPr>
      </w:pPr>
      <w:r w:rsidRPr="00AC3DDC">
        <w:rPr>
          <w:rFonts w:ascii="Cambria" w:hAnsi="Cambria"/>
          <w:b/>
        </w:rPr>
        <w:t>GEM-COGS</w:t>
      </w:r>
      <w:r w:rsidRPr="00AC3DDC">
        <w:rPr>
          <w:rFonts w:ascii="Cambria" w:hAnsi="Cambria"/>
        </w:rPr>
        <w:t xml:space="preserve">. </w:t>
      </w:r>
      <w:bookmarkStart w:id="0" w:name="_GoBack"/>
      <w:bookmarkEnd w:id="0"/>
      <w:r w:rsidR="000C1FB4" w:rsidRPr="000C1FB4">
        <w:rPr>
          <w:rFonts w:ascii="Cambria" w:hAnsi="Cambria"/>
        </w:rPr>
        <w:t xml:space="preserve">This will show the elements in the current GEM II document that satisfy the COGS checklist. To learn more about COGS, you can visit the web site </w:t>
      </w:r>
      <w:r w:rsidR="000C1FB4">
        <w:rPr>
          <w:rFonts w:ascii="Cambria" w:hAnsi="Cambria"/>
        </w:rPr>
        <w:t xml:space="preserve">at </w:t>
      </w:r>
      <w:hyperlink r:id="rId29" w:history="1">
        <w:r w:rsidR="000C1FB4" w:rsidRPr="00D34CBB">
          <w:rPr>
            <w:rStyle w:val="Hyperlink"/>
            <w:rFonts w:ascii="Cambria" w:hAnsi="Cambria"/>
          </w:rPr>
          <w:t>http://gem.med.yale.edu/cogs</w:t>
        </w:r>
      </w:hyperlink>
      <w:r w:rsidR="000C1FB4">
        <w:rPr>
          <w:rFonts w:ascii="Cambria" w:hAnsi="Cambria"/>
        </w:rPr>
        <w:t xml:space="preserve">. </w:t>
      </w:r>
    </w:p>
    <w:p w14:paraId="68BF92B2" w14:textId="77777777" w:rsidR="00CB21C6" w:rsidRPr="00AC3DDC" w:rsidRDefault="00CB21C6" w:rsidP="000C1FB4">
      <w:pPr>
        <w:numPr>
          <w:ilvl w:val="0"/>
          <w:numId w:val="4"/>
        </w:numPr>
        <w:rPr>
          <w:rFonts w:ascii="Cambria" w:hAnsi="Cambria"/>
        </w:rPr>
      </w:pPr>
      <w:r w:rsidRPr="00AC3DDC">
        <w:rPr>
          <w:rFonts w:ascii="Cambria" w:hAnsi="Cambria"/>
          <w:b/>
        </w:rPr>
        <w:t>XML</w:t>
      </w:r>
      <w:r w:rsidRPr="00AC3DDC">
        <w:rPr>
          <w:rFonts w:ascii="Cambria" w:hAnsi="Cambria"/>
        </w:rPr>
        <w:t>. The last option in the Report menu is “View XML”</w:t>
      </w:r>
      <w:r w:rsidR="000C1FB4" w:rsidRPr="00AC3DDC">
        <w:rPr>
          <w:rFonts w:ascii="Cambria" w:hAnsi="Cambria"/>
        </w:rPr>
        <w:t xml:space="preserve">, which will </w:t>
      </w:r>
      <w:r w:rsidR="000C1FB4" w:rsidRPr="000C1FB4">
        <w:rPr>
          <w:rFonts w:ascii="Cambria" w:hAnsi="Cambria"/>
        </w:rPr>
        <w:t>display the current version of the XML file</w:t>
      </w:r>
      <w:r w:rsidR="000C1FB4">
        <w:rPr>
          <w:rFonts w:ascii="Cambria" w:hAnsi="Cambria"/>
        </w:rPr>
        <w:t xml:space="preserve">. </w:t>
      </w:r>
      <w:r w:rsidRPr="00AC3DDC">
        <w:rPr>
          <w:rFonts w:ascii="Cambria" w:hAnsi="Cambria"/>
        </w:rPr>
        <w:t>The actual XML report is automatically generated by the GEM-Cutter tool when the project is saved by the user, and can be found in the folder corresponding to that guideline project</w:t>
      </w:r>
      <w:r w:rsidR="000C1FB4" w:rsidRPr="00AC3DDC">
        <w:rPr>
          <w:rFonts w:ascii="Cambria" w:hAnsi="Cambria"/>
        </w:rPr>
        <w:t xml:space="preserve"> (see below)</w:t>
      </w:r>
      <w:r w:rsidRPr="00AC3DDC">
        <w:rPr>
          <w:rFonts w:ascii="Cambria" w:hAnsi="Cambria"/>
        </w:rPr>
        <w:t xml:space="preserve">. </w:t>
      </w:r>
    </w:p>
    <w:p w14:paraId="186BAC28" w14:textId="77777777" w:rsidR="00CB21C6" w:rsidRDefault="006C681D" w:rsidP="00CB21C6">
      <w:pPr>
        <w:jc w:val="center"/>
      </w:pPr>
      <w:r w:rsidRPr="00C23003">
        <w:rPr>
          <w:noProof/>
        </w:rPr>
        <w:drawing>
          <wp:inline distT="0" distB="0" distL="0" distR="0" wp14:anchorId="4CCCC87A" wp14:editId="6733BCD2">
            <wp:extent cx="5946775" cy="196405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6775" cy="1964055"/>
                    </a:xfrm>
                    <a:prstGeom prst="rect">
                      <a:avLst/>
                    </a:prstGeom>
                    <a:noFill/>
                    <a:ln>
                      <a:noFill/>
                    </a:ln>
                  </pic:spPr>
                </pic:pic>
              </a:graphicData>
            </a:graphic>
          </wp:inline>
        </w:drawing>
      </w:r>
    </w:p>
    <w:p w14:paraId="75B826D0" w14:textId="77777777" w:rsidR="000C1FB4" w:rsidRPr="00AC3DDC" w:rsidRDefault="000C1FB4" w:rsidP="000C1FB4">
      <w:pPr>
        <w:ind w:left="360"/>
        <w:rPr>
          <w:rFonts w:ascii="Cambria" w:hAnsi="Cambria"/>
        </w:rPr>
      </w:pPr>
      <w:r w:rsidRPr="00AC3DDC">
        <w:rPr>
          <w:rFonts w:ascii="Cambria" w:hAnsi="Cambria"/>
        </w:rPr>
        <w:t>The format of the output will look similar to that below:</w:t>
      </w:r>
    </w:p>
    <w:p w14:paraId="34B5E0D1" w14:textId="77777777" w:rsidR="000C1FB4" w:rsidRDefault="006C681D" w:rsidP="000C1FB4">
      <w:pPr>
        <w:jc w:val="center"/>
        <w:rPr>
          <w:b/>
          <w:bCs/>
          <w:u w:val="single"/>
        </w:rPr>
      </w:pPr>
      <w:r w:rsidRPr="00C23003">
        <w:rPr>
          <w:noProof/>
        </w:rPr>
        <w:lastRenderedPageBreak/>
        <w:drawing>
          <wp:inline distT="0" distB="0" distL="0" distR="0" wp14:anchorId="46DFAF96" wp14:editId="0E5FEB88">
            <wp:extent cx="5608955" cy="30562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955" cy="3056255"/>
                    </a:xfrm>
                    <a:prstGeom prst="rect">
                      <a:avLst/>
                    </a:prstGeom>
                    <a:noFill/>
                    <a:ln>
                      <a:noFill/>
                    </a:ln>
                  </pic:spPr>
                </pic:pic>
              </a:graphicData>
            </a:graphic>
          </wp:inline>
        </w:drawing>
      </w:r>
    </w:p>
    <w:p w14:paraId="407E7117" w14:textId="77777777" w:rsidR="00E63270" w:rsidRPr="00AC3DDC" w:rsidRDefault="00171E7B" w:rsidP="00E63270">
      <w:pPr>
        <w:numPr>
          <w:ilvl w:val="0"/>
          <w:numId w:val="4"/>
        </w:numPr>
        <w:spacing w:before="120"/>
        <w:rPr>
          <w:rFonts w:ascii="Cambria" w:hAnsi="Cambria"/>
          <w:b/>
          <w:bCs/>
        </w:rPr>
      </w:pPr>
      <w:r w:rsidRPr="00AC3DDC">
        <w:rPr>
          <w:rFonts w:ascii="Cambria" w:hAnsi="Cambria"/>
          <w:b/>
          <w:bCs/>
        </w:rPr>
        <w:t xml:space="preserve">Recommendations. </w:t>
      </w:r>
      <w:r w:rsidRPr="00AC3DDC">
        <w:rPr>
          <w:rFonts w:ascii="Cambria" w:hAnsi="Cambria"/>
          <w:bCs/>
        </w:rPr>
        <w:t>This output can be generated by using the Gem Extractor</w:t>
      </w:r>
      <w:r w:rsidR="00F0551B" w:rsidRPr="00AC3DDC">
        <w:rPr>
          <w:rFonts w:ascii="Cambria" w:hAnsi="Cambria"/>
          <w:bCs/>
        </w:rPr>
        <w:t xml:space="preserve"> (</w:t>
      </w:r>
      <w:r w:rsidR="00F0551B" w:rsidRPr="00AC3DDC">
        <w:rPr>
          <w:rFonts w:ascii="Cambria" w:hAnsi="Cambria"/>
        </w:rPr>
        <w:t xml:space="preserve">available at </w:t>
      </w:r>
      <w:hyperlink r:id="rId32" w:history="1">
        <w:r w:rsidRPr="00AC3DDC">
          <w:rPr>
            <w:rStyle w:val="Hyperlink"/>
            <w:rFonts w:ascii="Cambria" w:hAnsi="Cambria"/>
          </w:rPr>
          <w:t>http://gem.med.yale.edu/GEMTools/gem_ii_tools.htm</w:t>
        </w:r>
      </w:hyperlink>
      <w:r w:rsidR="00F0551B" w:rsidRPr="00AC3DDC">
        <w:rPr>
          <w:rFonts w:ascii="Cambria" w:hAnsi="Cambria"/>
          <w:bCs/>
        </w:rPr>
        <w:t>)</w:t>
      </w:r>
      <w:r w:rsidRPr="00AC3DDC">
        <w:rPr>
          <w:rFonts w:ascii="Cambria" w:hAnsi="Cambria"/>
          <w:bCs/>
        </w:rPr>
        <w:t>.</w:t>
      </w:r>
      <w:r w:rsidR="00E63270" w:rsidRPr="00AC3DDC">
        <w:rPr>
          <w:rFonts w:ascii="Cambria" w:hAnsi="Cambria"/>
          <w:b/>
          <w:bCs/>
        </w:rPr>
        <w:t xml:space="preserve"> </w:t>
      </w:r>
      <w:r w:rsidR="00E63270" w:rsidRPr="00AC3DDC">
        <w:rPr>
          <w:rFonts w:ascii="Cambria" w:hAnsi="Cambria"/>
          <w:bCs/>
        </w:rPr>
        <w:t>In this report the text of the guideline recommendations is extracted and presented in full text. In effect, this view represents an Executive Summary of actionable statements from the guideline.</w:t>
      </w:r>
    </w:p>
    <w:p w14:paraId="4DC55DEA" w14:textId="77777777" w:rsidR="00E63270" w:rsidRPr="00AC3DDC" w:rsidRDefault="00E63270" w:rsidP="00E63270">
      <w:pPr>
        <w:spacing w:before="120"/>
        <w:ind w:left="360"/>
        <w:jc w:val="center"/>
        <w:rPr>
          <w:rFonts w:ascii="Cambria" w:hAnsi="Cambria"/>
          <w:b/>
          <w:bCs/>
        </w:rPr>
      </w:pPr>
      <w:r w:rsidRPr="00AC3DDC">
        <w:rPr>
          <w:rFonts w:ascii="Cambria" w:hAnsi="Cambria"/>
          <w:bCs/>
        </w:rPr>
        <w:t>.</w:t>
      </w:r>
      <w:r w:rsidR="006C681D" w:rsidRPr="00C23003">
        <w:rPr>
          <w:noProof/>
        </w:rPr>
        <w:drawing>
          <wp:inline distT="0" distB="0" distL="0" distR="0" wp14:anchorId="10DB7250" wp14:editId="4DBD197D">
            <wp:extent cx="4596765" cy="3522345"/>
            <wp:effectExtent l="25400" t="25400" r="63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b="14223"/>
                    <a:stretch>
                      <a:fillRect/>
                    </a:stretch>
                  </pic:blipFill>
                  <pic:spPr bwMode="auto">
                    <a:xfrm>
                      <a:off x="0" y="0"/>
                      <a:ext cx="4596765" cy="3522345"/>
                    </a:xfrm>
                    <a:prstGeom prst="rect">
                      <a:avLst/>
                    </a:prstGeom>
                    <a:noFill/>
                    <a:ln w="3175" cmpd="sng">
                      <a:solidFill>
                        <a:srgbClr val="000000"/>
                      </a:solidFill>
                      <a:miter lim="800000"/>
                      <a:headEnd/>
                      <a:tailEnd/>
                    </a:ln>
                    <a:effectLst/>
                  </pic:spPr>
                </pic:pic>
              </a:graphicData>
            </a:graphic>
          </wp:inline>
        </w:drawing>
      </w:r>
    </w:p>
    <w:sectPr w:rsidR="00E63270" w:rsidRPr="00AC3DDC" w:rsidSect="00C15AAC">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07080" w14:textId="77777777" w:rsidR="000B7F84" w:rsidRDefault="000B7F84" w:rsidP="007E3976">
      <w:pPr>
        <w:spacing w:after="0" w:line="240" w:lineRule="auto"/>
      </w:pPr>
      <w:r>
        <w:separator/>
      </w:r>
    </w:p>
  </w:endnote>
  <w:endnote w:type="continuationSeparator" w:id="0">
    <w:p w14:paraId="15211B0B" w14:textId="77777777" w:rsidR="000B7F84" w:rsidRDefault="000B7F84" w:rsidP="007E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83FE3" w14:textId="77777777" w:rsidR="000B7F84" w:rsidRDefault="000B7F84" w:rsidP="007E3976">
      <w:pPr>
        <w:spacing w:after="0" w:line="240" w:lineRule="auto"/>
      </w:pPr>
      <w:r>
        <w:separator/>
      </w:r>
    </w:p>
  </w:footnote>
  <w:footnote w:type="continuationSeparator" w:id="0">
    <w:p w14:paraId="4C48A00B" w14:textId="77777777" w:rsidR="000B7F84" w:rsidRDefault="000B7F84" w:rsidP="007E397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61413A"/>
    <w:multiLevelType w:val="hybridMultilevel"/>
    <w:tmpl w:val="64D48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A380A6D"/>
    <w:multiLevelType w:val="hybridMultilevel"/>
    <w:tmpl w:val="9386E89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4F1512E"/>
    <w:multiLevelType w:val="hybridMultilevel"/>
    <w:tmpl w:val="54607ED2"/>
    <w:lvl w:ilvl="0" w:tplc="91DE8084">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797D0FFA"/>
    <w:multiLevelType w:val="hybridMultilevel"/>
    <w:tmpl w:val="352EA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0E6"/>
    <w:rsid w:val="00010EAF"/>
    <w:rsid w:val="00023039"/>
    <w:rsid w:val="00077F27"/>
    <w:rsid w:val="00097096"/>
    <w:rsid w:val="000B7F84"/>
    <w:rsid w:val="000C1FB4"/>
    <w:rsid w:val="000E5978"/>
    <w:rsid w:val="001201B9"/>
    <w:rsid w:val="001716B9"/>
    <w:rsid w:val="00171E7B"/>
    <w:rsid w:val="00180075"/>
    <w:rsid w:val="001E07DE"/>
    <w:rsid w:val="00216E70"/>
    <w:rsid w:val="002854A5"/>
    <w:rsid w:val="002B5333"/>
    <w:rsid w:val="002C6C54"/>
    <w:rsid w:val="00395803"/>
    <w:rsid w:val="003F3025"/>
    <w:rsid w:val="004271DD"/>
    <w:rsid w:val="004474A7"/>
    <w:rsid w:val="00472149"/>
    <w:rsid w:val="004A5CE0"/>
    <w:rsid w:val="004C2560"/>
    <w:rsid w:val="00512762"/>
    <w:rsid w:val="005613C5"/>
    <w:rsid w:val="005A6323"/>
    <w:rsid w:val="005E66D2"/>
    <w:rsid w:val="005F217B"/>
    <w:rsid w:val="00697D6D"/>
    <w:rsid w:val="006C48C2"/>
    <w:rsid w:val="006C681D"/>
    <w:rsid w:val="00707CCF"/>
    <w:rsid w:val="0071364A"/>
    <w:rsid w:val="007A57B9"/>
    <w:rsid w:val="007C32DB"/>
    <w:rsid w:val="007E3976"/>
    <w:rsid w:val="007F565A"/>
    <w:rsid w:val="00803780"/>
    <w:rsid w:val="00835C96"/>
    <w:rsid w:val="008F496F"/>
    <w:rsid w:val="0097059D"/>
    <w:rsid w:val="009F14C9"/>
    <w:rsid w:val="00A132D0"/>
    <w:rsid w:val="00A22DB9"/>
    <w:rsid w:val="00A340E6"/>
    <w:rsid w:val="00A57ECD"/>
    <w:rsid w:val="00AC3DDC"/>
    <w:rsid w:val="00AC4B14"/>
    <w:rsid w:val="00B2145E"/>
    <w:rsid w:val="00BE7D8E"/>
    <w:rsid w:val="00C15AAC"/>
    <w:rsid w:val="00CB21C6"/>
    <w:rsid w:val="00D05AE0"/>
    <w:rsid w:val="00D36EED"/>
    <w:rsid w:val="00D66446"/>
    <w:rsid w:val="00D74213"/>
    <w:rsid w:val="00D94494"/>
    <w:rsid w:val="00D96CCD"/>
    <w:rsid w:val="00DE3F9F"/>
    <w:rsid w:val="00E2173B"/>
    <w:rsid w:val="00E353FA"/>
    <w:rsid w:val="00E44DD0"/>
    <w:rsid w:val="00E63270"/>
    <w:rsid w:val="00E6491D"/>
    <w:rsid w:val="00EB3F73"/>
    <w:rsid w:val="00EB633D"/>
    <w:rsid w:val="00EE5B9A"/>
    <w:rsid w:val="00F0551B"/>
    <w:rsid w:val="00F26860"/>
    <w:rsid w:val="00F32795"/>
    <w:rsid w:val="00F43130"/>
    <w:rsid w:val="00FB1047"/>
    <w:rsid w:val="00FE6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EEE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2C6C54"/>
    <w:pPr>
      <w:keepNext/>
      <w:keepLines/>
      <w:spacing w:before="480" w:after="0" w:line="240" w:lineRule="auto"/>
      <w:outlineLvl w:val="0"/>
    </w:pPr>
    <w:rPr>
      <w:rFonts w:ascii="Cambria" w:eastAsia="Times New Roman" w:hAnsi="Cambria"/>
      <w:b/>
      <w:bCs/>
      <w:color w:val="365F9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2C6C54"/>
    <w:rPr>
      <w:rFonts w:ascii="Cambria" w:eastAsia="Times New Roman" w:hAnsi="Cambria"/>
      <w:b/>
      <w:bCs/>
      <w:color w:val="365F91"/>
      <w:sz w:val="30"/>
      <w:szCs w:val="28"/>
    </w:rPr>
  </w:style>
  <w:style w:type="character" w:customStyle="1" w:styleId="Heading1Char1">
    <w:name w:val="Heading 1 Char1"/>
    <w:uiPriority w:val="9"/>
    <w:rsid w:val="002854A5"/>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803780"/>
    <w:rPr>
      <w:sz w:val="16"/>
      <w:szCs w:val="16"/>
    </w:rPr>
  </w:style>
  <w:style w:type="paragraph" w:styleId="CommentText">
    <w:name w:val="annotation text"/>
    <w:basedOn w:val="Normal"/>
    <w:link w:val="CommentTextChar"/>
    <w:uiPriority w:val="99"/>
    <w:semiHidden/>
    <w:unhideWhenUsed/>
    <w:rsid w:val="00803780"/>
    <w:rPr>
      <w:sz w:val="20"/>
      <w:szCs w:val="20"/>
    </w:rPr>
  </w:style>
  <w:style w:type="character" w:customStyle="1" w:styleId="CommentTextChar">
    <w:name w:val="Comment Text Char"/>
    <w:basedOn w:val="DefaultParagraphFont"/>
    <w:link w:val="CommentText"/>
    <w:uiPriority w:val="99"/>
    <w:semiHidden/>
    <w:rsid w:val="00803780"/>
  </w:style>
  <w:style w:type="paragraph" w:styleId="CommentSubject">
    <w:name w:val="annotation subject"/>
    <w:basedOn w:val="CommentText"/>
    <w:next w:val="CommentText"/>
    <w:link w:val="CommentSubjectChar"/>
    <w:uiPriority w:val="99"/>
    <w:semiHidden/>
    <w:unhideWhenUsed/>
    <w:rsid w:val="00803780"/>
    <w:rPr>
      <w:b/>
      <w:bCs/>
    </w:rPr>
  </w:style>
  <w:style w:type="character" w:customStyle="1" w:styleId="CommentSubjectChar">
    <w:name w:val="Comment Subject Char"/>
    <w:link w:val="CommentSubject"/>
    <w:uiPriority w:val="99"/>
    <w:semiHidden/>
    <w:rsid w:val="00803780"/>
    <w:rPr>
      <w:b/>
      <w:bCs/>
    </w:rPr>
  </w:style>
  <w:style w:type="paragraph" w:styleId="BalloonText">
    <w:name w:val="Balloon Text"/>
    <w:basedOn w:val="Normal"/>
    <w:link w:val="BalloonTextChar"/>
    <w:uiPriority w:val="99"/>
    <w:semiHidden/>
    <w:unhideWhenUsed/>
    <w:rsid w:val="008037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3780"/>
    <w:rPr>
      <w:rFonts w:ascii="Tahoma" w:hAnsi="Tahoma" w:cs="Tahoma"/>
      <w:sz w:val="16"/>
      <w:szCs w:val="16"/>
    </w:rPr>
  </w:style>
  <w:style w:type="character" w:styleId="Hyperlink">
    <w:name w:val="Hyperlink"/>
    <w:uiPriority w:val="99"/>
    <w:unhideWhenUsed/>
    <w:rsid w:val="00F0551B"/>
    <w:rPr>
      <w:color w:val="0000FF"/>
      <w:u w:val="single"/>
    </w:rPr>
  </w:style>
  <w:style w:type="paragraph" w:styleId="Header">
    <w:name w:val="header"/>
    <w:basedOn w:val="Normal"/>
    <w:link w:val="HeaderChar"/>
    <w:uiPriority w:val="99"/>
    <w:unhideWhenUsed/>
    <w:rsid w:val="005613C5"/>
    <w:pPr>
      <w:tabs>
        <w:tab w:val="center" w:pos="4680"/>
        <w:tab w:val="right" w:pos="9360"/>
      </w:tabs>
    </w:pPr>
  </w:style>
  <w:style w:type="character" w:customStyle="1" w:styleId="HeaderChar">
    <w:name w:val="Header Char"/>
    <w:basedOn w:val="DefaultParagraphFont"/>
    <w:link w:val="Header"/>
    <w:uiPriority w:val="99"/>
    <w:rsid w:val="005613C5"/>
    <w:rPr>
      <w:sz w:val="22"/>
      <w:szCs w:val="22"/>
    </w:rPr>
  </w:style>
  <w:style w:type="paragraph" w:styleId="Footer">
    <w:name w:val="footer"/>
    <w:basedOn w:val="Normal"/>
    <w:link w:val="FooterChar"/>
    <w:uiPriority w:val="99"/>
    <w:unhideWhenUsed/>
    <w:rsid w:val="005613C5"/>
    <w:pPr>
      <w:tabs>
        <w:tab w:val="center" w:pos="4680"/>
        <w:tab w:val="right" w:pos="9360"/>
      </w:tabs>
    </w:pPr>
  </w:style>
  <w:style w:type="character" w:customStyle="1" w:styleId="FooterChar">
    <w:name w:val="Footer Char"/>
    <w:basedOn w:val="DefaultParagraphFont"/>
    <w:link w:val="Footer"/>
    <w:uiPriority w:val="99"/>
    <w:rsid w:val="005613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681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yperlink" Target="http://gem.med.yale.edu/cog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hyperlink" Target="http://gem.med.yale.edu/GEMTools/gem_ii_tools.htm"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4.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19</Pages>
  <Words>3595</Words>
  <Characters>20492</Characters>
  <Application>Microsoft Macintosh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24039</CharactersWithSpaces>
  <SharedDoc>false</SharedDoc>
  <HLinks>
    <vt:vector size="12" baseType="variant">
      <vt:variant>
        <vt:i4>3145832</vt:i4>
      </vt:variant>
      <vt:variant>
        <vt:i4>6</vt:i4>
      </vt:variant>
      <vt:variant>
        <vt:i4>0</vt:i4>
      </vt:variant>
      <vt:variant>
        <vt:i4>5</vt:i4>
      </vt:variant>
      <vt:variant>
        <vt:lpwstr>http://gem.med.yale.edu/GEMTools/gem_ii_tools.htm</vt:lpwstr>
      </vt:variant>
      <vt:variant>
        <vt:lpwstr/>
      </vt:variant>
      <vt:variant>
        <vt:i4>4456473</vt:i4>
      </vt:variant>
      <vt:variant>
        <vt:i4>3</vt:i4>
      </vt:variant>
      <vt:variant>
        <vt:i4>0</vt:i4>
      </vt:variant>
      <vt:variant>
        <vt:i4>5</vt:i4>
      </vt:variant>
      <vt:variant>
        <vt:lpwstr>http://gem.med.yale.edu/cogs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eduffy</dc:creator>
  <cp:keywords/>
  <cp:lastModifiedBy>Microsoft Office User</cp:lastModifiedBy>
  <cp:revision>4</cp:revision>
  <dcterms:created xsi:type="dcterms:W3CDTF">2018-01-18T03:00:00Z</dcterms:created>
  <dcterms:modified xsi:type="dcterms:W3CDTF">2018-01-19T00:28:00Z</dcterms:modified>
</cp:coreProperties>
</file>